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088BD6">
      <w:pPr>
        <w:widowControl w:val="0"/>
        <w:suppressAutoHyphens/>
        <w:jc w:val="center"/>
        <w:rPr>
          <w:b/>
          <w:sz w:val="28"/>
          <w:szCs w:val="28"/>
          <w:lang w:eastAsia="ar-SA"/>
        </w:rPr>
      </w:pPr>
      <w:bookmarkStart w:id="1" w:name="_GoBack"/>
      <w:bookmarkEnd w:id="1"/>
      <w:r>
        <w:rPr>
          <w:b/>
          <w:sz w:val="28"/>
          <w:szCs w:val="28"/>
          <w:lang w:eastAsia="ar-SA"/>
        </w:rPr>
        <w:t>АДМИНИСТРАЦИЯ ПЕНЗЯТСКОГО  СЕЛЬСКОГО ПОСЕЛЕНИЯ</w:t>
      </w:r>
    </w:p>
    <w:p w14:paraId="05E9815D">
      <w:pPr>
        <w:widowControl w:val="0"/>
        <w:suppressAutoHyphens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ЛЯМБИРСКОГО  МУНИЦИПАЛЬНОГО РАЙОНА</w:t>
      </w:r>
    </w:p>
    <w:p w14:paraId="6A14808F">
      <w:pPr>
        <w:suppressAutoHyphens/>
        <w:spacing w:line="360" w:lineRule="auto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РЕСПУБЛИКИ МОРДОВИЯ</w:t>
      </w:r>
    </w:p>
    <w:p w14:paraId="2F94DB7F">
      <w:pPr>
        <w:jc w:val="center"/>
        <w:rPr>
          <w:b/>
          <w:sz w:val="32"/>
          <w:szCs w:val="32"/>
        </w:rPr>
      </w:pPr>
    </w:p>
    <w:p w14:paraId="7CB5600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14:paraId="553255B8">
      <w:pPr>
        <w:suppressAutoHyphens/>
        <w:jc w:val="center"/>
        <w:rPr>
          <w:szCs w:val="16"/>
        </w:rPr>
      </w:pPr>
    </w:p>
    <w:p w14:paraId="070F57E0">
      <w:pPr>
        <w:suppressAutoHyphens/>
        <w:jc w:val="center"/>
        <w:rPr>
          <w:szCs w:val="16"/>
        </w:rPr>
      </w:pPr>
      <w:r>
        <w:rPr>
          <w:szCs w:val="16"/>
        </w:rPr>
        <w:t>с. Пензятка</w:t>
      </w:r>
    </w:p>
    <w:p w14:paraId="72AAF2A8"/>
    <w:p w14:paraId="232BFF69">
      <w:pPr>
        <w:ind w:firstLine="480" w:firstLineChars="200"/>
      </w:pPr>
      <w:r>
        <w:t>21.07.2026                                                                                                               № 54</w:t>
      </w:r>
    </w:p>
    <w:p w14:paraId="69F213AB"/>
    <w:p w14:paraId="06E96DA0">
      <w:pPr>
        <w:jc w:val="center"/>
      </w:pPr>
      <w:r>
        <w:rPr>
          <w:b/>
          <w:bCs/>
          <w:sz w:val="28"/>
          <w:szCs w:val="28"/>
        </w:rPr>
        <w:t xml:space="preserve">О создании комиссии по проведению оценки обеспечения готовности к отопительному периоду 2026-2027 гг. </w:t>
      </w:r>
      <w:bookmarkStart w:id="0" w:name="_Hlk234937483"/>
      <w:r>
        <w:rPr>
          <w:b/>
          <w:bCs/>
          <w:sz w:val="28"/>
          <w:szCs w:val="28"/>
        </w:rPr>
        <w:t>Пензятского сельского поселения Лямбирского муниципального района Республики Мордовия</w:t>
      </w:r>
      <w:bookmarkEnd w:id="0"/>
    </w:p>
    <w:p w14:paraId="441F592F"/>
    <w:p w14:paraId="01AD33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целях оценки готовности к отопительному периоду согласно статье 20 Федерального закона от 27.07.2010 № 190-ФЗ «О теплоснабжении», и в соответствии с Порядком проведения оценки обеспечения готовности к отопительному периоду, утвержденным приказом Минэнерго России от 13.11.2024 № 2234:</w:t>
      </w:r>
    </w:p>
    <w:p w14:paraId="6C9F42AC">
      <w:pPr>
        <w:ind w:firstLine="567"/>
        <w:jc w:val="both"/>
        <w:rPr>
          <w:sz w:val="28"/>
          <w:szCs w:val="28"/>
        </w:rPr>
      </w:pPr>
    </w:p>
    <w:p w14:paraId="34CD9EE6">
      <w:pPr>
        <w:pStyle w:val="16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комиссию по проведению оценки обеспечения готовности к отопительному периоду 2026-2027 гг. Пензятского сельского поселения Лямбирского муниципального района Республики Мордовия (далее – Комиссия).</w:t>
      </w:r>
    </w:p>
    <w:p w14:paraId="4F55A303">
      <w:pPr>
        <w:pStyle w:val="16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Установить, что Комиссия осуществляет оценку обеспечения готовности к отопительному периоду следующих лиц:</w:t>
      </w:r>
    </w:p>
    <w:p w14:paraId="235B928B">
      <w:pPr>
        <w:pStyle w:val="16"/>
        <w:numPr>
          <w:ilvl w:val="0"/>
          <w:numId w:val="2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теплоснабжающих организаций и теплосетевых организаций;</w:t>
      </w:r>
    </w:p>
    <w:p w14:paraId="0B1199EB">
      <w:pPr>
        <w:pStyle w:val="16"/>
        <w:numPr>
          <w:ilvl w:val="0"/>
          <w:numId w:val="2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потребителей тепловой энергии, теплопотребляющие установки которых подключены (технологически присоединены) к системе теплоснабжения и которые приобретают тепловую энергию (мощность), теплоноситель для использования на принадлежащих им на праве собственности или ином законном основании теплопотребляющих установках, в том числе владельцы встроенных и встроенно-пристроенных нежилых помещений в многоквартирных домах, чьи теплопотребляющие установки подключены (технологически присоединены) к системе теплоснабжения по отдельному тепловому вводу, - в отношении теплопотребляющих установок, инженерных коммуникаций (в том числе тепловых сетей при наличии таких сетей), принадлежащих указанным лицам на праве собственности или ином законном основании, за исключением теплопотребляющих установок и инженерных коммуникаций жилых домов (домовладений);</w:t>
      </w:r>
    </w:p>
    <w:p w14:paraId="3D4A816C">
      <w:pPr>
        <w:pStyle w:val="16"/>
        <w:numPr>
          <w:ilvl w:val="0"/>
          <w:numId w:val="2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управляющих организаций, а также товариществ собственников жилья, жилищных кооперативов, жилищно-строительных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 - в части теплопотребляющих установок, инженерных коммуникаций (в том числе тепловые сети при наличии таких сетей) и иного общедомового имущества, обслуживающего более одного жилого и (или) нежилого помещения в многоквартирном доме (в том числе котельные, бойлерные, элеваторные узлы), обязанность по содержанию и (или) техническому обслуживанию, и (или) ремонту, и (или) эксплуатации которого возложена на соответствующих лиц договором либо требованиями статьи 161 Жилищного кодекса Российской Федерации;</w:t>
      </w:r>
    </w:p>
    <w:p w14:paraId="6E53D6C9">
      <w:pPr>
        <w:pStyle w:val="16"/>
        <w:numPr>
          <w:ilvl w:val="0"/>
          <w:numId w:val="2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лиц,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 в целях надлежащего содержания и (или) ремонта внутридомовой системы отопления в многоквартирном доме, или председателя совета многоквартирного дома в случае, если собственниками помещений в многоквартирном доме не принято решение о заключении таких договоров, или муниципальными образованиями в случае, если способ управления многоквартирным домом не выбран или выбранный способ управления не реализован, - в части теплопотребляющих установок, инженерных коммуникаций (в том числе тепловые сети при наличии таких сетей) и иного общедомового имущества, обслуживающего более одного жилого и (или) нежилого помещения в многоквартирном доме (в том числе котельные, бойлерные, элеваторные узлы), обязанность по содержанию и (или) техническому обслуживанию, и (или) ремонту, и (или) эксплуатации которого возложена на соответствующих лиц договором либо требованиями жилищного законодательства.</w:t>
      </w:r>
    </w:p>
    <w:p w14:paraId="2163D2F5">
      <w:pPr>
        <w:pStyle w:val="16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владельцев тепловых сетей, которые не являются теплосетевыми организациями в соответствии с критериями, установленными пунктами 56(1) и 56(2) Правил организации теплоснабжения в Российской Федерации, утвержденных постановлением Правительства Российской Федерации от 08.08.2012 № 808, и которые осуществляют передачу тепловой энергии потребителям, теплопотребляющие установки которых присоединены к их тепловым сетям, или в сети теплосетевых организаций.</w:t>
      </w:r>
    </w:p>
    <w:p w14:paraId="0DA0D740">
      <w:pPr>
        <w:pStyle w:val="16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Комиссии, указанный в приложении 1 к настоящему постановлению.</w:t>
      </w:r>
    </w:p>
    <w:p w14:paraId="6E6E6859">
      <w:pPr>
        <w:pStyle w:val="16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программу проведения оценки обеспечения готовности к отопительному периоду лиц, указанных в пункте 2 настоящего постановления, изложенную в приложении 2 к настоящему постановлению.</w:t>
      </w:r>
    </w:p>
    <w:p w14:paraId="1CA5FDB8">
      <w:pPr>
        <w:pStyle w:val="16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позднее чем за 20 календарных дней до дня начала проведения оценки обеспечения готовности обеспечить опубликование настоящего постановления (с приложениями) в печатных средствах массовой информации и его размещение на официальном сайте Администрации Пензятского сельского  поселения в информационно-телекоммуникационной сети «Интернет».</w:t>
      </w:r>
    </w:p>
    <w:p w14:paraId="2703382A">
      <w:pPr>
        <w:pStyle w:val="16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администрации Пензятского сельского поселения от 19.05.2025 № 26 считать недействительным.</w:t>
      </w:r>
    </w:p>
    <w:p w14:paraId="418E5F33">
      <w:pPr>
        <w:pStyle w:val="16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исполнения настоящего постановления оставляю за собой.</w:t>
      </w:r>
    </w:p>
    <w:p w14:paraId="0DE70D5C">
      <w:pPr>
        <w:jc w:val="both"/>
        <w:rPr>
          <w:sz w:val="28"/>
          <w:szCs w:val="28"/>
        </w:rPr>
      </w:pPr>
    </w:p>
    <w:p w14:paraId="73F83020">
      <w:pPr>
        <w:suppressAutoHyphens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Глава Администрации Пензятского </w:t>
      </w:r>
    </w:p>
    <w:p w14:paraId="135B3430">
      <w:pPr>
        <w:suppressAutoHyphens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сельского поселения Лямбирского</w:t>
      </w:r>
    </w:p>
    <w:p w14:paraId="2CEDD2F5">
      <w:pPr>
        <w:suppressAutoHyphens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муниципального района  РМ                                                       Э.Р. Хафизова </w:t>
      </w:r>
    </w:p>
    <w:p w14:paraId="3AC2B95A">
      <w:pPr>
        <w:tabs>
          <w:tab w:val="right" w:pos="9921"/>
        </w:tabs>
        <w:ind w:left="6237"/>
        <w:jc w:val="both"/>
      </w:pPr>
      <w:r>
        <w:t>Приложение 1</w:t>
      </w:r>
    </w:p>
    <w:p w14:paraId="5B4D7BF3">
      <w:pPr>
        <w:tabs>
          <w:tab w:val="right" w:pos="9921"/>
        </w:tabs>
        <w:ind w:left="6237"/>
        <w:jc w:val="both"/>
      </w:pPr>
      <w:r>
        <w:t>к постановлению Администрации Пензятского сельского поселения</w:t>
      </w:r>
    </w:p>
    <w:p w14:paraId="4698F357">
      <w:pPr>
        <w:tabs>
          <w:tab w:val="right" w:pos="9921"/>
        </w:tabs>
        <w:ind w:left="6237"/>
        <w:jc w:val="both"/>
      </w:pPr>
      <w:r>
        <w:t>от 21 июля 2026г. № 54</w:t>
      </w:r>
    </w:p>
    <w:p w14:paraId="74BC372E">
      <w:pPr>
        <w:tabs>
          <w:tab w:val="right" w:pos="9921"/>
        </w:tabs>
        <w:ind w:left="6237"/>
        <w:jc w:val="both"/>
      </w:pPr>
    </w:p>
    <w:p w14:paraId="739DD319">
      <w:pPr>
        <w:tabs>
          <w:tab w:val="right" w:pos="9921"/>
        </w:tabs>
        <w:ind w:left="6237"/>
        <w:jc w:val="both"/>
      </w:pPr>
    </w:p>
    <w:p w14:paraId="08B85BCC">
      <w:pPr>
        <w:tabs>
          <w:tab w:val="right" w:pos="9921"/>
        </w:tabs>
        <w:ind w:left="6237"/>
        <w:jc w:val="both"/>
      </w:pPr>
    </w:p>
    <w:p w14:paraId="23A66260">
      <w:pPr>
        <w:jc w:val="center"/>
        <w:rPr>
          <w:b/>
        </w:rPr>
      </w:pPr>
      <w:r>
        <w:rPr>
          <w:b/>
        </w:rPr>
        <w:t>Состав комиссии</w:t>
      </w:r>
    </w:p>
    <w:p w14:paraId="4118B85E">
      <w:pPr>
        <w:jc w:val="center"/>
        <w:rPr>
          <w:b/>
          <w:color w:val="000000"/>
        </w:rPr>
      </w:pPr>
      <w:r>
        <w:rPr>
          <w:b/>
        </w:rPr>
        <w:t xml:space="preserve"> по проведению оценки обеспечения готовности к отопительному периоду 2026-2027 гг. в Пензятском сельском поселении</w:t>
      </w:r>
    </w:p>
    <w:p w14:paraId="6C65D087">
      <w:pPr>
        <w:suppressAutoHyphens/>
        <w:jc w:val="both"/>
        <w:rPr>
          <w:b/>
          <w:bCs/>
        </w:rPr>
      </w:pPr>
    </w:p>
    <w:tbl>
      <w:tblPr>
        <w:tblStyle w:val="3"/>
        <w:tblW w:w="93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704"/>
        <w:gridCol w:w="5816"/>
      </w:tblGrid>
      <w:tr w14:paraId="21EA82A9">
        <w:tc>
          <w:tcPr>
            <w:tcW w:w="9322" w:type="dxa"/>
            <w:gridSpan w:val="3"/>
          </w:tcPr>
          <w:p w14:paraId="18FDB7D7">
            <w:pPr>
              <w:widowControl w:val="0"/>
              <w:suppressAutoHyphens/>
              <w:rPr>
                <w:rFonts w:eastAsiaTheme="minorHAnsi"/>
              </w:rPr>
            </w:pPr>
          </w:p>
          <w:p w14:paraId="5882830E">
            <w:pPr>
              <w:widowControl w:val="0"/>
              <w:suppressAutoHyphens/>
              <w:rPr>
                <w:rFonts w:eastAsiaTheme="minorHAnsi"/>
              </w:rPr>
            </w:pPr>
            <w:r>
              <w:rPr>
                <w:rFonts w:eastAsiaTheme="minorHAnsi"/>
              </w:rPr>
              <w:t>Председатель комиссии:</w:t>
            </w:r>
          </w:p>
        </w:tc>
      </w:tr>
      <w:tr w14:paraId="177BA9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3CA34751">
            <w:pPr>
              <w:widowControl w:val="0"/>
              <w:suppressAutoHyphens/>
              <w:rPr>
                <w:rFonts w:eastAsiaTheme="minorHAnsi"/>
              </w:rPr>
            </w:pPr>
            <w:r>
              <w:rPr>
                <w:rFonts w:eastAsiaTheme="minorHAnsi"/>
              </w:rPr>
              <w:t>Хафизова Э. Р.</w:t>
            </w:r>
          </w:p>
        </w:tc>
        <w:tc>
          <w:tcPr>
            <w:tcW w:w="704" w:type="dxa"/>
          </w:tcPr>
          <w:p w14:paraId="5EF3B18F">
            <w:pPr>
              <w:widowControl w:val="0"/>
              <w:suppressAutoHyphens/>
              <w:rPr>
                <w:rFonts w:eastAsiaTheme="minorHAnsi"/>
              </w:rPr>
            </w:pPr>
            <w:r>
              <w:rPr>
                <w:rFonts w:eastAsiaTheme="minorHAnsi"/>
              </w:rPr>
              <w:t>-</w:t>
            </w:r>
          </w:p>
        </w:tc>
        <w:tc>
          <w:tcPr>
            <w:tcW w:w="5816" w:type="dxa"/>
          </w:tcPr>
          <w:p w14:paraId="45EFB190">
            <w:pPr>
              <w:widowControl w:val="0"/>
              <w:suppressAutoHyphens/>
              <w:rPr>
                <w:rFonts w:eastAsiaTheme="minorHAnsi"/>
              </w:rPr>
            </w:pPr>
            <w:r>
              <w:rPr>
                <w:rFonts w:eastAsiaTheme="minorHAnsi"/>
              </w:rPr>
              <w:t>Глава администрации Пензятского сельского поселения Лямбирского муниципального района;</w:t>
            </w:r>
          </w:p>
        </w:tc>
      </w:tr>
      <w:tr w14:paraId="121D6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7E1E577D">
            <w:pPr>
              <w:widowControl w:val="0"/>
              <w:suppressAutoHyphens/>
              <w:rPr>
                <w:rFonts w:eastAsiaTheme="minorHAnsi"/>
              </w:rPr>
            </w:pPr>
          </w:p>
        </w:tc>
        <w:tc>
          <w:tcPr>
            <w:tcW w:w="704" w:type="dxa"/>
          </w:tcPr>
          <w:p w14:paraId="6D0F4168">
            <w:pPr>
              <w:widowControl w:val="0"/>
              <w:suppressAutoHyphens/>
              <w:rPr>
                <w:rFonts w:eastAsiaTheme="minorHAnsi"/>
              </w:rPr>
            </w:pPr>
          </w:p>
        </w:tc>
        <w:tc>
          <w:tcPr>
            <w:tcW w:w="5816" w:type="dxa"/>
          </w:tcPr>
          <w:p w14:paraId="7D4D1B4E">
            <w:pPr>
              <w:widowControl w:val="0"/>
              <w:suppressAutoHyphens/>
              <w:rPr>
                <w:rFonts w:eastAsiaTheme="minorHAnsi"/>
              </w:rPr>
            </w:pPr>
          </w:p>
        </w:tc>
      </w:tr>
      <w:tr w14:paraId="4A4E6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gridSpan w:val="3"/>
          </w:tcPr>
          <w:p w14:paraId="0D31CB3C">
            <w:pPr>
              <w:widowControl w:val="0"/>
              <w:suppressAutoHyphens/>
              <w:rPr>
                <w:rFonts w:eastAsiaTheme="minorHAnsi"/>
              </w:rPr>
            </w:pPr>
            <w:r>
              <w:rPr>
                <w:rFonts w:eastAsiaTheme="minorHAnsi"/>
              </w:rPr>
              <w:t>Заместитель председателя комиссии:</w:t>
            </w:r>
          </w:p>
        </w:tc>
      </w:tr>
      <w:tr w14:paraId="4FB13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3C6733EC">
            <w:pPr>
              <w:widowControl w:val="0"/>
              <w:suppressAutoHyphens/>
              <w:rPr>
                <w:rFonts w:eastAsiaTheme="minorHAnsi"/>
              </w:rPr>
            </w:pPr>
            <w:r>
              <w:rPr>
                <w:rFonts w:eastAsiaTheme="minorHAnsi"/>
              </w:rPr>
              <w:t>Карабанова К. М.</w:t>
            </w:r>
          </w:p>
        </w:tc>
        <w:tc>
          <w:tcPr>
            <w:tcW w:w="704" w:type="dxa"/>
          </w:tcPr>
          <w:p w14:paraId="5E3FC970">
            <w:pPr>
              <w:widowControl w:val="0"/>
              <w:suppressAutoHyphens/>
              <w:rPr>
                <w:rFonts w:eastAsiaTheme="minorHAnsi"/>
              </w:rPr>
            </w:pPr>
            <w:r>
              <w:rPr>
                <w:rFonts w:eastAsiaTheme="minorHAnsi"/>
              </w:rPr>
              <w:t>-</w:t>
            </w:r>
          </w:p>
        </w:tc>
        <w:tc>
          <w:tcPr>
            <w:tcW w:w="5816" w:type="dxa"/>
          </w:tcPr>
          <w:p w14:paraId="501FAC52">
            <w:pPr>
              <w:widowControl w:val="0"/>
              <w:suppressAutoHyphens/>
              <w:rPr>
                <w:rFonts w:eastAsiaTheme="minorHAnsi"/>
              </w:rPr>
            </w:pPr>
            <w:r>
              <w:rPr>
                <w:rFonts w:eastAsiaTheme="minorHAnsi"/>
              </w:rPr>
              <w:t>Заместитель главы администрации Пензятского сельского поселения Лямбирского муниципального района;</w:t>
            </w:r>
          </w:p>
          <w:p w14:paraId="6A22AF70">
            <w:pPr>
              <w:widowControl w:val="0"/>
              <w:suppressAutoHyphens/>
              <w:rPr>
                <w:rFonts w:eastAsiaTheme="minorHAnsi"/>
              </w:rPr>
            </w:pPr>
          </w:p>
        </w:tc>
      </w:tr>
      <w:tr w14:paraId="4B293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gridSpan w:val="3"/>
          </w:tcPr>
          <w:p w14:paraId="5D060636">
            <w:pPr>
              <w:widowControl w:val="0"/>
              <w:suppressAutoHyphens/>
              <w:rPr>
                <w:rFonts w:eastAsiaTheme="minorHAnsi"/>
              </w:rPr>
            </w:pPr>
            <w:r>
              <w:rPr>
                <w:rFonts w:eastAsiaTheme="minorHAnsi"/>
              </w:rPr>
              <w:t>Секретарь комиссии:</w:t>
            </w:r>
          </w:p>
        </w:tc>
      </w:tr>
      <w:tr w14:paraId="35757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0803EB00">
            <w:pPr>
              <w:widowControl w:val="0"/>
              <w:suppressAutoHyphens/>
              <w:rPr>
                <w:rFonts w:eastAsiaTheme="minorHAnsi"/>
              </w:rPr>
            </w:pPr>
            <w:r>
              <w:rPr>
                <w:rFonts w:eastAsiaTheme="minorHAnsi"/>
              </w:rPr>
              <w:t>Живайкина Н. И.</w:t>
            </w:r>
          </w:p>
        </w:tc>
        <w:tc>
          <w:tcPr>
            <w:tcW w:w="704" w:type="dxa"/>
          </w:tcPr>
          <w:p w14:paraId="195B1E51">
            <w:pPr>
              <w:widowControl w:val="0"/>
              <w:suppressAutoHyphens/>
              <w:rPr>
                <w:rFonts w:eastAsiaTheme="minorHAnsi"/>
              </w:rPr>
            </w:pPr>
            <w:r>
              <w:rPr>
                <w:rFonts w:eastAsiaTheme="minorHAnsi"/>
              </w:rPr>
              <w:t>-</w:t>
            </w:r>
          </w:p>
        </w:tc>
        <w:tc>
          <w:tcPr>
            <w:tcW w:w="5816" w:type="dxa"/>
          </w:tcPr>
          <w:p w14:paraId="57A6CF8F">
            <w:pPr>
              <w:widowControl w:val="0"/>
              <w:suppressAutoHyphens/>
              <w:rPr>
                <w:rFonts w:eastAsiaTheme="minorHAnsi"/>
              </w:rPr>
            </w:pPr>
            <w:r>
              <w:rPr>
                <w:rFonts w:eastAsiaTheme="minorHAnsi"/>
              </w:rPr>
              <w:t>Депутат совета депутатов Пензятского сельского поселения Лямбирского муниципального района Республики Мордовия;</w:t>
            </w:r>
          </w:p>
        </w:tc>
      </w:tr>
      <w:tr w14:paraId="0BA26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gridSpan w:val="3"/>
          </w:tcPr>
          <w:p w14:paraId="770B6804">
            <w:pPr>
              <w:widowControl w:val="0"/>
              <w:suppressAutoHyphens/>
              <w:rPr>
                <w:rFonts w:eastAsiaTheme="minorHAnsi"/>
              </w:rPr>
            </w:pPr>
          </w:p>
        </w:tc>
      </w:tr>
      <w:tr w14:paraId="120F7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gridSpan w:val="3"/>
          </w:tcPr>
          <w:p w14:paraId="7046F33D">
            <w:pPr>
              <w:widowControl w:val="0"/>
              <w:suppressAutoHyphens/>
              <w:rPr>
                <w:rFonts w:eastAsiaTheme="minorHAnsi"/>
              </w:rPr>
            </w:pPr>
            <w:r>
              <w:rPr>
                <w:rFonts w:eastAsiaTheme="minorHAnsi"/>
              </w:rPr>
              <w:t>Члены комиссии:</w:t>
            </w:r>
          </w:p>
          <w:p w14:paraId="6CEE6E6F">
            <w:pPr>
              <w:widowControl w:val="0"/>
              <w:suppressAutoHyphens/>
              <w:rPr>
                <w:rFonts w:eastAsiaTheme="minorHAnsi"/>
              </w:rPr>
            </w:pPr>
          </w:p>
        </w:tc>
      </w:tr>
      <w:tr w14:paraId="7ED66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76F4777C">
            <w:pPr>
              <w:widowControl w:val="0"/>
              <w:suppressAutoHyphens/>
              <w:rPr>
                <w:rFonts w:eastAsiaTheme="minorHAnsi"/>
              </w:rPr>
            </w:pPr>
            <w:r>
              <w:rPr>
                <w:rFonts w:eastAsiaTheme="minorHAnsi"/>
              </w:rPr>
              <w:t>Рожаев Е.В.</w:t>
            </w:r>
          </w:p>
        </w:tc>
        <w:tc>
          <w:tcPr>
            <w:tcW w:w="704" w:type="dxa"/>
          </w:tcPr>
          <w:p w14:paraId="1B98B49A">
            <w:pPr>
              <w:widowControl w:val="0"/>
              <w:suppressAutoHyphens/>
              <w:rPr>
                <w:rFonts w:eastAsiaTheme="minorHAnsi"/>
              </w:rPr>
            </w:pPr>
            <w:r>
              <w:rPr>
                <w:rFonts w:eastAsiaTheme="minorHAnsi"/>
              </w:rPr>
              <w:t>-</w:t>
            </w:r>
          </w:p>
        </w:tc>
        <w:tc>
          <w:tcPr>
            <w:tcW w:w="5816" w:type="dxa"/>
          </w:tcPr>
          <w:p w14:paraId="66168B46">
            <w:pPr>
              <w:widowControl w:val="0"/>
              <w:suppressAutoHyphens/>
              <w:rPr>
                <w:rFonts w:eastAsiaTheme="minorHAnsi"/>
              </w:rPr>
            </w:pPr>
            <w:r>
              <w:rPr>
                <w:rFonts w:eastAsiaTheme="minorHAnsi"/>
              </w:rPr>
              <w:t>Заместитель Главы Лямбирского муниципального района по вопросам строительства, архитектуры, ЖКХ и энергетики (по согласованию);</w:t>
            </w:r>
          </w:p>
          <w:p w14:paraId="4C5548CB">
            <w:pPr>
              <w:widowControl w:val="0"/>
              <w:suppressAutoHyphens/>
              <w:rPr>
                <w:rFonts w:eastAsiaTheme="minorHAnsi"/>
              </w:rPr>
            </w:pPr>
          </w:p>
        </w:tc>
      </w:tr>
      <w:tr w14:paraId="4E5D6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032885D1">
            <w:pPr>
              <w:widowControl w:val="0"/>
              <w:suppressAutoHyphens/>
              <w:rPr>
                <w:rFonts w:eastAsiaTheme="minorHAnsi"/>
              </w:rPr>
            </w:pPr>
            <w:r>
              <w:rPr>
                <w:rFonts w:eastAsiaTheme="minorHAnsi"/>
              </w:rPr>
              <w:t>Девятаев Д.В.</w:t>
            </w:r>
          </w:p>
        </w:tc>
        <w:tc>
          <w:tcPr>
            <w:tcW w:w="704" w:type="dxa"/>
          </w:tcPr>
          <w:p w14:paraId="44A24445">
            <w:pPr>
              <w:widowControl w:val="0"/>
              <w:suppressAutoHyphens/>
              <w:rPr>
                <w:rFonts w:eastAsiaTheme="minorHAnsi"/>
              </w:rPr>
            </w:pPr>
            <w:r>
              <w:rPr>
                <w:rFonts w:eastAsiaTheme="minorHAnsi"/>
              </w:rPr>
              <w:t>-</w:t>
            </w:r>
          </w:p>
        </w:tc>
        <w:tc>
          <w:tcPr>
            <w:tcW w:w="5816" w:type="dxa"/>
          </w:tcPr>
          <w:p w14:paraId="3D278E00">
            <w:pPr>
              <w:widowControl w:val="0"/>
              <w:suppressAutoHyphens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Директор ОО «УК Лямбирькомжилсервис», </w:t>
            </w:r>
          </w:p>
          <w:p w14:paraId="6180E3D5">
            <w:pPr>
              <w:widowControl w:val="0"/>
              <w:suppressAutoHyphens/>
              <w:rPr>
                <w:rFonts w:eastAsiaTheme="minorHAnsi"/>
              </w:rPr>
            </w:pPr>
            <w:r>
              <w:rPr>
                <w:rFonts w:eastAsiaTheme="minorHAnsi"/>
              </w:rPr>
              <w:t>ООО «Лямбирские тепло-водо сети» (по согласованию);</w:t>
            </w:r>
          </w:p>
          <w:p w14:paraId="2021DE64">
            <w:pPr>
              <w:widowControl w:val="0"/>
              <w:suppressAutoHyphens/>
              <w:rPr>
                <w:rFonts w:eastAsiaTheme="minorHAnsi"/>
              </w:rPr>
            </w:pPr>
          </w:p>
        </w:tc>
      </w:tr>
      <w:tr w14:paraId="56A8C9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710D0AD6">
            <w:pPr>
              <w:widowControl w:val="0"/>
              <w:suppressAutoHyphens/>
              <w:rPr>
                <w:rFonts w:eastAsiaTheme="minorHAnsi"/>
              </w:rPr>
            </w:pPr>
            <w:r>
              <w:rPr>
                <w:color w:val="333333"/>
              </w:rPr>
              <w:t>Маркелов А.А.</w:t>
            </w:r>
          </w:p>
        </w:tc>
        <w:tc>
          <w:tcPr>
            <w:tcW w:w="704" w:type="dxa"/>
          </w:tcPr>
          <w:p w14:paraId="1C65AEED">
            <w:pPr>
              <w:widowControl w:val="0"/>
              <w:suppressAutoHyphens/>
              <w:rPr>
                <w:rFonts w:eastAsiaTheme="minorHAnsi"/>
              </w:rPr>
            </w:pPr>
            <w:r>
              <w:t>-</w:t>
            </w:r>
          </w:p>
        </w:tc>
        <w:tc>
          <w:tcPr>
            <w:tcW w:w="5816" w:type="dxa"/>
          </w:tcPr>
          <w:p w14:paraId="5D885F55">
            <w:pPr>
              <w:widowControl w:val="0"/>
              <w:suppressAutoHyphens/>
              <w:rPr>
                <w:rFonts w:eastAsiaTheme="minorHAnsi"/>
              </w:rPr>
            </w:pPr>
            <w:r>
              <w:rPr>
                <w:color w:val="333333"/>
                <w:shd w:val="clear" w:color="auto" w:fill="FFFFFF"/>
              </w:rPr>
              <w:t>Начальник Лямбирской газовой службы     филиала АО «Газпром газораспределения Саранск»</w:t>
            </w:r>
            <w:r>
              <w:rPr>
                <w:rFonts w:eastAsiaTheme="minorHAnsi"/>
              </w:rPr>
              <w:t xml:space="preserve"> (по согласованию)</w:t>
            </w:r>
          </w:p>
          <w:p w14:paraId="03F48541">
            <w:pPr>
              <w:widowControl w:val="0"/>
              <w:suppressAutoHyphens/>
              <w:rPr>
                <w:rFonts w:eastAsiaTheme="minorHAnsi"/>
              </w:rPr>
            </w:pPr>
          </w:p>
        </w:tc>
      </w:tr>
      <w:tr w14:paraId="3241F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243BD1BE">
            <w:pPr>
              <w:widowControl w:val="0"/>
              <w:suppressAutoHyphens/>
              <w:jc w:val="both"/>
              <w:rPr>
                <w:rFonts w:eastAsiaTheme="minorHAnsi"/>
              </w:rPr>
            </w:pPr>
          </w:p>
        </w:tc>
        <w:tc>
          <w:tcPr>
            <w:tcW w:w="704" w:type="dxa"/>
          </w:tcPr>
          <w:p w14:paraId="25EA378C">
            <w:pPr>
              <w:widowControl w:val="0"/>
              <w:suppressAutoHyphens/>
              <w:rPr>
                <w:rFonts w:eastAsiaTheme="minorHAnsi"/>
              </w:rPr>
            </w:pPr>
          </w:p>
        </w:tc>
        <w:tc>
          <w:tcPr>
            <w:tcW w:w="5816" w:type="dxa"/>
          </w:tcPr>
          <w:p w14:paraId="2561C150">
            <w:pPr>
              <w:widowControl w:val="0"/>
              <w:suppressAutoHyphens/>
              <w:jc w:val="both"/>
              <w:rPr>
                <w:rFonts w:asciiTheme="minorHAnsi" w:hAnsiTheme="minorHAnsi" w:eastAsiaTheme="minorHAnsi" w:cstheme="minorBidi"/>
                <w:lang w:eastAsia="en-US"/>
              </w:rPr>
            </w:pPr>
          </w:p>
        </w:tc>
      </w:tr>
      <w:tr w14:paraId="52CCC2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16A6FB2B">
            <w:pPr>
              <w:widowControl w:val="0"/>
              <w:suppressAutoHyphens/>
              <w:jc w:val="both"/>
              <w:rPr>
                <w:rFonts w:eastAsiaTheme="minorHAnsi"/>
              </w:rPr>
            </w:pPr>
          </w:p>
        </w:tc>
        <w:tc>
          <w:tcPr>
            <w:tcW w:w="704" w:type="dxa"/>
          </w:tcPr>
          <w:p w14:paraId="1F6883AF">
            <w:pPr>
              <w:widowControl w:val="0"/>
              <w:suppressAutoHyphens/>
              <w:rPr>
                <w:rFonts w:eastAsiaTheme="minorHAnsi"/>
              </w:rPr>
            </w:pPr>
          </w:p>
        </w:tc>
        <w:tc>
          <w:tcPr>
            <w:tcW w:w="5816" w:type="dxa"/>
          </w:tcPr>
          <w:p w14:paraId="0790A313">
            <w:pPr>
              <w:widowControl w:val="0"/>
              <w:suppressAutoHyphens/>
              <w:jc w:val="both"/>
              <w:rPr>
                <w:rFonts w:eastAsiaTheme="minorHAnsi"/>
                <w:lang w:eastAsia="en-US"/>
              </w:rPr>
            </w:pPr>
          </w:p>
        </w:tc>
      </w:tr>
    </w:tbl>
    <w:p w14:paraId="2B4AABCD">
      <w:pPr>
        <w:suppressAutoHyphens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Представитель  Волжско-Окского управления Ростехнадзора  (по согласованию).</w:t>
      </w:r>
    </w:p>
    <w:p w14:paraId="6AADA313">
      <w:pPr>
        <w:suppressAutoHyphens/>
        <w:rPr>
          <w:rFonts w:eastAsiaTheme="minorHAnsi"/>
          <w:lang w:eastAsia="en-US"/>
        </w:rPr>
      </w:pPr>
    </w:p>
    <w:p w14:paraId="2255F44F">
      <w:pPr>
        <w:suppressAutoHyphens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Представитель </w:t>
      </w:r>
      <w:r>
        <w:rPr>
          <w:color w:val="333333"/>
          <w:shd w:val="clear" w:color="auto" w:fill="FFFFFF"/>
        </w:rPr>
        <w:t>Управления Государственной жилищной инспекции Министерства жилищно-коммунального хозяйства, энергетики и гражданской защиты населения Республики Мордовия (по согласованию).</w:t>
      </w:r>
    </w:p>
    <w:p w14:paraId="568A3D76">
      <w:pPr>
        <w:tabs>
          <w:tab w:val="right" w:pos="9921"/>
        </w:tabs>
        <w:ind w:left="6237"/>
        <w:jc w:val="both"/>
      </w:pPr>
    </w:p>
    <w:p w14:paraId="1064ABA4">
      <w:pPr>
        <w:tabs>
          <w:tab w:val="right" w:pos="9921"/>
        </w:tabs>
        <w:ind w:left="6237"/>
        <w:jc w:val="both"/>
      </w:pPr>
    </w:p>
    <w:p w14:paraId="011968E8">
      <w:pPr>
        <w:tabs>
          <w:tab w:val="right" w:pos="9921"/>
        </w:tabs>
        <w:ind w:left="6237"/>
        <w:jc w:val="both"/>
      </w:pPr>
    </w:p>
    <w:p w14:paraId="46DA33D8">
      <w:pPr>
        <w:tabs>
          <w:tab w:val="right" w:pos="9921"/>
        </w:tabs>
        <w:ind w:left="6237"/>
        <w:jc w:val="both"/>
      </w:pPr>
    </w:p>
    <w:p w14:paraId="3C03BBB7">
      <w:pPr>
        <w:tabs>
          <w:tab w:val="right" w:pos="9921"/>
        </w:tabs>
        <w:ind w:left="6237"/>
        <w:jc w:val="both"/>
      </w:pPr>
    </w:p>
    <w:p w14:paraId="1B98EFD6">
      <w:pPr>
        <w:tabs>
          <w:tab w:val="right" w:pos="9921"/>
        </w:tabs>
        <w:ind w:left="6237"/>
        <w:jc w:val="both"/>
      </w:pPr>
      <w:r>
        <w:t>Приложение 2</w:t>
      </w:r>
    </w:p>
    <w:p w14:paraId="5535943F">
      <w:pPr>
        <w:tabs>
          <w:tab w:val="right" w:pos="9921"/>
        </w:tabs>
        <w:ind w:left="6237"/>
        <w:jc w:val="both"/>
      </w:pPr>
      <w:r>
        <w:t>к постановлению Администрации Пензятского сельского поселения</w:t>
      </w:r>
    </w:p>
    <w:p w14:paraId="038514E0">
      <w:pPr>
        <w:tabs>
          <w:tab w:val="right" w:pos="9921"/>
        </w:tabs>
        <w:ind w:left="6237"/>
        <w:jc w:val="both"/>
      </w:pPr>
      <w:r>
        <w:t>от 21 июля 2026г. № 54</w:t>
      </w:r>
    </w:p>
    <w:p w14:paraId="237E7CA4">
      <w:pPr>
        <w:tabs>
          <w:tab w:val="right" w:pos="9921"/>
        </w:tabs>
        <w:jc w:val="both"/>
      </w:pPr>
    </w:p>
    <w:p w14:paraId="468059F2">
      <w:pPr>
        <w:tabs>
          <w:tab w:val="right" w:pos="9921"/>
        </w:tabs>
        <w:jc w:val="both"/>
      </w:pPr>
    </w:p>
    <w:p w14:paraId="450785DC">
      <w:pPr>
        <w:tabs>
          <w:tab w:val="right" w:pos="9921"/>
        </w:tabs>
        <w:jc w:val="center"/>
        <w:rPr>
          <w:b/>
          <w:bCs/>
        </w:rPr>
      </w:pPr>
      <w:r>
        <w:rPr>
          <w:b/>
          <w:bCs/>
        </w:rPr>
        <w:t>Программа проведения оценки обеспечения готовности к отопительному периоду 2026-2027 гг. на территории Пензятского сельского поселения</w:t>
      </w:r>
    </w:p>
    <w:p w14:paraId="4CA726CE">
      <w:pPr>
        <w:tabs>
          <w:tab w:val="right" w:pos="9921"/>
        </w:tabs>
      </w:pPr>
    </w:p>
    <w:p w14:paraId="43889D87">
      <w:pPr>
        <w:pStyle w:val="16"/>
        <w:numPr>
          <w:ilvl w:val="0"/>
          <w:numId w:val="3"/>
        </w:numPr>
        <w:tabs>
          <w:tab w:val="right" w:pos="9921"/>
        </w:tabs>
        <w:spacing w:before="24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6B102513">
      <w:pPr>
        <w:pStyle w:val="16"/>
        <w:numPr>
          <w:ilvl w:val="1"/>
          <w:numId w:val="3"/>
        </w:numPr>
        <w:tabs>
          <w:tab w:val="righ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проведения оценки обеспечения готовности к отопительному периоду постановлением Администрации Пензятского сельского поселения создается специальная комиссия.</w:t>
      </w:r>
    </w:p>
    <w:p w14:paraId="656B2C5B">
      <w:pPr>
        <w:pStyle w:val="16"/>
        <w:numPr>
          <w:ilvl w:val="1"/>
          <w:numId w:val="3"/>
        </w:numPr>
        <w:tabs>
          <w:tab w:val="righ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 осуществляют свои права и обязанности в рамках требований, указанных в разделе 2 настоящей программы.</w:t>
      </w:r>
    </w:p>
    <w:p w14:paraId="5B9192F9">
      <w:pPr>
        <w:pStyle w:val="16"/>
        <w:numPr>
          <w:ilvl w:val="1"/>
          <w:numId w:val="3"/>
        </w:numPr>
        <w:tabs>
          <w:tab w:val="right" w:pos="993"/>
          <w:tab w:val="right" w:pos="992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Указанная комиссия в соответствии со статьей 20 Федерального закона от 27.07.2010 № 190</w:t>
      </w:r>
      <w:r>
        <w:rPr>
          <w:rFonts w:ascii="Times New Roman" w:hAnsi="Times New Roman" w:cs="Times New Roman"/>
          <w:sz w:val="24"/>
          <w:szCs w:val="24"/>
        </w:rPr>
        <w:noBreakHyphen/>
      </w:r>
      <w:r>
        <w:rPr>
          <w:rFonts w:ascii="Times New Roman" w:hAnsi="Times New Roman" w:cs="Times New Roman"/>
          <w:sz w:val="24"/>
          <w:szCs w:val="24"/>
        </w:rPr>
        <w:t>ФЗ «О теплоснабжении» осуществляет оценку обеспечения готовности к отопительному периоду на территории Пензятского сельского поселения следующими лицами:</w:t>
      </w:r>
    </w:p>
    <w:p w14:paraId="7AC03438">
      <w:pPr>
        <w:pStyle w:val="16"/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теплоснабжающими организациями;</w:t>
      </w:r>
    </w:p>
    <w:p w14:paraId="3AA03969">
      <w:pPr>
        <w:pStyle w:val="16"/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теплосетевыми организациями;</w:t>
      </w:r>
    </w:p>
    <w:p w14:paraId="2FC74EBB">
      <w:pPr>
        <w:pStyle w:val="16"/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владельцами тепловых сетей, не являющимися теплосетевыми организациями;</w:t>
      </w:r>
    </w:p>
    <w:p w14:paraId="0C2430C2">
      <w:pPr>
        <w:pStyle w:val="16"/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потребителями тепловой энергии, теплопотребляющие установки которых подключены (технологически присоединены) к системе теплоснабжения и которые приобретают тепловую энергию (мощность), теплоноситель для использования на принадлежащих им на праве собственности или ином законном основании теплопотребляющих установках;</w:t>
      </w:r>
    </w:p>
    <w:p w14:paraId="636F2744">
      <w:pPr>
        <w:pStyle w:val="16"/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управляющей организацией, а также товариществом собственников жилья, жилищным кооперативом, жилищно-строительным кооперативом или иным специализированным потребительским кооперативом при условии осуществления ими деятельности по управлению многоквартирными домами;</w:t>
      </w:r>
    </w:p>
    <w:p w14:paraId="3A423CA9">
      <w:pPr>
        <w:pStyle w:val="16"/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лицами,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 в целях надлежащего содержания и (или) ремонта внутридомовой системы отопления в многоквартирном доме, или председателем совета многоквартирного дома в случае, если собственниками помещений в многоквартирном доме не принято решение о заключении таких договоров, или муниципальными образованиями в случае, если способ управления многоквартирным домом не выбран или выбранный способ управления не реализован.</w:t>
      </w:r>
    </w:p>
    <w:p w14:paraId="1A1DFAE2">
      <w:pPr>
        <w:pStyle w:val="16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комиссии по оценке обеспечения готовности к отопительному периоду лицами, указанными в пунктах 1.2.1-1.2.3 настоящего раздела, также включаются представители:</w:t>
      </w:r>
    </w:p>
    <w:p w14:paraId="0B2E81A1">
      <w:pPr>
        <w:pStyle w:val="16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единой теплоснабжающего организации, в зону (зоны) деятельности которой входит соответствующая система (системы) теплоснабжения;</w:t>
      </w:r>
    </w:p>
    <w:p w14:paraId="122FA295">
      <w:pPr>
        <w:pStyle w:val="16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территориального управления Ростехнадзора;</w:t>
      </w:r>
    </w:p>
    <w:p w14:paraId="487CDE3C">
      <w:pPr>
        <w:pStyle w:val="16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газораспределительной организации, осуществляющей аварийно-диспетчерское обеспечение внутридомового и (или) внутриквартирного газового оборудования;.</w:t>
      </w:r>
    </w:p>
    <w:p w14:paraId="79666ECC">
      <w:pPr>
        <w:pStyle w:val="16"/>
        <w:numPr>
          <w:ilvl w:val="1"/>
          <w:numId w:val="3"/>
        </w:numPr>
        <w:tabs>
          <w:tab w:val="righ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комиссии по оценке обеспечения готовности к отопительному периоду лицами, указанными в пунктах 1.3.4 настоящего раздела, также включаются представители:</w:t>
      </w:r>
    </w:p>
    <w:p w14:paraId="69B5817E">
      <w:pPr>
        <w:pStyle w:val="16"/>
        <w:numPr>
          <w:ilvl w:val="0"/>
          <w:numId w:val="5"/>
        </w:numPr>
        <w:tabs>
          <w:tab w:val="righ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единой теплоснабжающей организацией, в зону (зоны) деятельности которой входит соответствующая система (системы) теплоснабжения, в которой лицами, указанными в пункте 1.3.4 настоящего раздела, заключены договоры теплоснабжения.</w:t>
      </w:r>
    </w:p>
    <w:p w14:paraId="7335A280">
      <w:pPr>
        <w:pStyle w:val="16"/>
        <w:numPr>
          <w:ilvl w:val="1"/>
          <w:numId w:val="3"/>
        </w:numPr>
        <w:tabs>
          <w:tab w:val="righ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комиссии по оценке обеспечения готовности к отопительному периоду лицами, указанными в пунктах 1.3.5 и 1.3.6 настоящего раздела, также включаются представители:</w:t>
      </w:r>
    </w:p>
    <w:p w14:paraId="6BA7FFA2">
      <w:pPr>
        <w:pStyle w:val="16"/>
        <w:numPr>
          <w:ilvl w:val="0"/>
          <w:numId w:val="6"/>
        </w:numPr>
        <w:tabs>
          <w:tab w:val="righ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единой теплоснабжающей организацией, в зону (зоны) деятельности которой входит соответствующая система (системы) теплоснабжения, в которой лицами, указанными в пунктах 1.3.5 и 1.3.6 настоящего раздела, заключены договоры теплоснабжения;</w:t>
      </w:r>
    </w:p>
    <w:p w14:paraId="2706E2DD">
      <w:pPr>
        <w:pStyle w:val="10"/>
        <w:numPr>
          <w:ilvl w:val="0"/>
          <w:numId w:val="6"/>
        </w:numPr>
        <w:tabs>
          <w:tab w:val="right" w:pos="993"/>
        </w:tabs>
        <w:spacing w:before="0" w:beforeAutospacing="0" w:after="0" w:afterAutospacing="0" w:line="288" w:lineRule="atLeast"/>
        <w:ind w:left="0" w:firstLine="567"/>
        <w:jc w:val="both"/>
      </w:pPr>
      <w:r>
        <w:t xml:space="preserve">исполнительного органа государственной власти Республики Мордовия, осуществляющего региональный государственный жилищный надзор, контроль за использованием и сохранностью жилищного фонда Республики Мордовия  - </w:t>
      </w:r>
      <w:r>
        <w:rPr>
          <w:color w:val="333333"/>
          <w:shd w:val="clear" w:color="auto" w:fill="FFFFFF"/>
        </w:rPr>
        <w:t>Государственной жилищной инспекции</w:t>
      </w:r>
      <w:r>
        <w:t>.</w:t>
      </w:r>
    </w:p>
    <w:p w14:paraId="4E39F93F">
      <w:pPr>
        <w:pStyle w:val="16"/>
        <w:tabs>
          <w:tab w:val="right" w:pos="993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11BD23C">
      <w:pPr>
        <w:pStyle w:val="16"/>
        <w:tabs>
          <w:tab w:val="righ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Проведение оценки готовности</w:t>
      </w:r>
    </w:p>
    <w:p w14:paraId="435D144C">
      <w:pPr>
        <w:pStyle w:val="16"/>
        <w:tabs>
          <w:tab w:val="righ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4E092E8">
      <w:pPr>
        <w:tabs>
          <w:tab w:val="right" w:pos="993"/>
        </w:tabs>
        <w:ind w:firstLine="567"/>
        <w:jc w:val="both"/>
      </w:pPr>
      <w:r>
        <w:t>2.1. В рамках проведения оценки обеспечения готовности комиссия осуществляет оценку готовности на предмет выполнения требований, установленных Правилами обеспечения готовности к отопительному периоду путем проверки членами комиссии соблюдения требований пунктов 9-11 Правил обеспечения готовности к отопительному периоду, утвержденных приказом Минэнерго России от 13.11.2024 № 2234.</w:t>
      </w:r>
    </w:p>
    <w:p w14:paraId="1670AC52">
      <w:pPr>
        <w:tabs>
          <w:tab w:val="right" w:pos="993"/>
        </w:tabs>
        <w:ind w:firstLine="567"/>
        <w:jc w:val="both"/>
      </w:pPr>
      <w:r>
        <w:t>2.2. В целях проведения оценки обеспечения готовности комиссия рассматривает документы, подтверждающие выполнение требований по обеспечению готовности. По решению комиссии проводится осмотр объектов оценки обеспечения готовности.</w:t>
      </w:r>
    </w:p>
    <w:p w14:paraId="7B8F77B0">
      <w:pPr>
        <w:tabs>
          <w:tab w:val="right" w:pos="993"/>
        </w:tabs>
        <w:ind w:firstLine="567"/>
        <w:jc w:val="both"/>
      </w:pPr>
      <w:r>
        <w:t>2.3. В отношении каждого объекта оценки обеспечения готовности устанавливает их уровень готовности к отопительному периоду (далее — уровень готовности) на основании значения индекса готовности. Индекс готовности объекта оценки обеспечения готовности определяется расчетным способом с точностью до 2 знака после запятой в соответствии с формулами, установленными в оценочных листах. Уровень готовности лиц, указанных в пункте 1.3 настоящего Порядка, определяется как среднеарифметическое значение индексов готовности объектов оценки обеспечения готовности.</w:t>
      </w:r>
    </w:p>
    <w:p w14:paraId="49EF9A17">
      <w:pPr>
        <w:pStyle w:val="5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2.4. По результатам расчета индекса готовности устанавливается:</w:t>
      </w:r>
    </w:p>
    <w:p w14:paraId="07F747A4">
      <w:pPr>
        <w:pStyle w:val="5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уровень готовности «Не готов» — если индекс готовности меньше 0,8;</w:t>
      </w:r>
    </w:p>
    <w:p w14:paraId="3484058B">
      <w:pPr>
        <w:pStyle w:val="5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уровень готовности «Готов с условиями» — если индекс готовности меньше 0,9 и больше либо равен 0,8;</w:t>
      </w:r>
    </w:p>
    <w:p w14:paraId="47D56A5B">
      <w:pPr>
        <w:pStyle w:val="5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уровень готовности «Готов» — если индекс готовности больше либо равен 0,9. </w:t>
      </w:r>
    </w:p>
    <w:p w14:paraId="615DFC20">
      <w:pPr>
        <w:pStyle w:val="5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2.4.1. Для лиц, указанных в п. 1.3.1-1.3.3 настоящего Порядка, в случае если балльная оценка хотя бы одного из нижеперечисленных показателей готовности, равна 0, то значение индекса готовности принимается не более 0,8.</w:t>
      </w:r>
    </w:p>
    <w:p w14:paraId="6D9E3402">
      <w:pPr>
        <w:pStyle w:val="5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показатель наличия акта о проведении очистки и промывки тепловых сетей, тепловых пунктов в соответствии с требованиями пунктов 5.3.37, 6.2.17, 12.18 Правил технической эксплуатации тепловых энергоустановок, утвержденных приказом Минэнерго России от 24 марта 2003 г. № 115 (далее — Правила № 115) (подпункт 9.3.21 пункта 9 Правил обеспечения готовности к отопительному периоду);</w:t>
      </w:r>
    </w:p>
    <w:p w14:paraId="693E2F81">
      <w:pPr>
        <w:pStyle w:val="5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показатель наличия актов проведения гидравлических испытаний на прочность и плотность трубопроводов тепловых сетей в соответствии с пунктом 6.2.32 Правил</w:t>
      </w:r>
    </w:p>
    <w:p w14:paraId="11B14E98">
      <w:pPr>
        <w:pStyle w:val="5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№ 115 (подпункт 9.3.19 пункта 9 Правил обеспечения готовности к отопительному периоду);</w:t>
      </w:r>
    </w:p>
    <w:p w14:paraId="5A20D1D1">
      <w:pPr>
        <w:pStyle w:val="5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показатель наличия разработанного в соответствии с пунктом 2.7.10 Правил № 115 нормативно-технического документа по организации ремонтного производства, разработке ремонтной документации, планированию и подготовке к ремонту, выводу в ремонт и производству ремонта, а также приемке и оценке качества ремонта (пункт 9.3.14 пункта 9 Правил обеспечения готовности к отопительному периоду).</w:t>
      </w:r>
    </w:p>
    <w:p w14:paraId="381E2C66">
      <w:pPr>
        <w:pStyle w:val="5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2.4.2. Для лиц, указанных в п. 1.3.4-1.3.6 настоящего Порядка, в случае если балльная оценка хотя бы одного из нижеперечисленных показателей готовности, равна 0, то значение индекса готовности принимается не более 0,8.</w:t>
      </w:r>
    </w:p>
    <w:p w14:paraId="789A06FD">
      <w:pPr>
        <w:pStyle w:val="5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показатель наличия акта промывки теплопотребляющей установки (подпункт 11.5.1. пункта 11 Правил обеспечения готовности к отопительному периоду);</w:t>
      </w:r>
    </w:p>
    <w:p w14:paraId="480B121E">
      <w:pPr>
        <w:pStyle w:val="5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показатель наличия акта о проведении наладки режимов потребления тепловой энергии и (или) теплоносителя (в том числе тепловых и гидравлических режимов) оборудования теплового пункта и внутридомовых сетей (подпункт 11.5.2. пункта 11 Правил обеспечения готовности к отопительному периоду);</w:t>
      </w:r>
    </w:p>
    <w:p w14:paraId="6BC2ECA0">
      <w:pPr>
        <w:pStyle w:val="5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показатель наличия акта о проведении гидравлических испытаний на прочность и плотность оборудования теплового пункта, тепловых сетей в границах балансовой принадлежности и эксплуатационной ответственности, включая трубопроводы теплового ввода и внутридомовых сетей оборудования теплового пункта и внутридомовых сетей (подпункт 11.5.5. пункта 11 Правил обеспечения готовности к отопительному периоду).</w:t>
      </w:r>
    </w:p>
    <w:p w14:paraId="2FFCAD43">
      <w:pPr>
        <w:pStyle w:val="5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2.4.3. При расчете индекса готовности в случае, если требования к объекту теплоснабжения, установленные статьей 20 Федерального закона о теплоснабжении, не применяются в соответствии с законодательством Российской Федерации, значение показателя в оценочных листах принимается равным 1.</w:t>
      </w:r>
    </w:p>
    <w:p w14:paraId="0B8FB5FD">
      <w:pPr>
        <w:tabs>
          <w:tab w:val="right" w:pos="993"/>
        </w:tabs>
        <w:ind w:firstLine="567"/>
        <w:jc w:val="both"/>
      </w:pPr>
      <w:r>
        <w:t>3. Действия при неустранении замечаний.</w:t>
      </w:r>
    </w:p>
    <w:p w14:paraId="23456BCD">
      <w:pPr>
        <w:tabs>
          <w:tab w:val="right" w:pos="993"/>
        </w:tabs>
        <w:ind w:firstLine="567"/>
        <w:jc w:val="both"/>
      </w:pPr>
      <w:r>
        <w:t>3.1. В случае неустранения замечаний лицами, указанными указанных в п. 1.3.1-1.3.3 настоящего Порядка, комиссия в течение 5 рабочих дней со дня подписания акта передает данные федеральному органу исполнительной власти, уполномоченному на осуществление федерального государственного энергетического надзора, федерального государственного надзора в области промышленной безопасности, федеральным органам исполнительной власти в сфере обороны, обеспечения безопасности, государственной охраны, внешней разведки, исполнения наказаний (их подразделениями).</w:t>
      </w:r>
    </w:p>
    <w:p w14:paraId="3945567D">
      <w:pPr>
        <w:tabs>
          <w:tab w:val="right" w:pos="993"/>
        </w:tabs>
        <w:ind w:firstLine="567"/>
        <w:jc w:val="both"/>
      </w:pPr>
      <w:r>
        <w:t>3.2. В случае неустранения замечаний лицами, указанными указанных в п. 1.3.4-1.3.6 настоящего Порядка, комиссия в течение 5 рабочих дней со для подписания акта передает данные органам государственной власти субъекта Российской Федерации в области жилищных отношений, осуществляющим региональный государственный надзор.</w:t>
      </w:r>
    </w:p>
    <w:p w14:paraId="3413CA09">
      <w:pPr>
        <w:tabs>
          <w:tab w:val="right" w:pos="993"/>
        </w:tabs>
        <w:ind w:firstLine="567"/>
        <w:jc w:val="both"/>
      </w:pPr>
      <w:r>
        <w:t>4. Фиксация соблюдения требований.</w:t>
      </w:r>
    </w:p>
    <w:p w14:paraId="763A7FD3">
      <w:pPr>
        <w:tabs>
          <w:tab w:val="right" w:pos="993"/>
        </w:tabs>
        <w:ind w:firstLine="567"/>
        <w:jc w:val="both"/>
      </w:pPr>
      <w:r>
        <w:t>Не позднее одного рабочего дня с даты завершения оценки обеспечения готовности комиссией составляется акт по форме приложения № 5 к Порядку проведения оценки обеспечения готовности к отопительному периоду, утвержденному приказом Минэнерго России от 13.11.2024 № 2234.</w:t>
      </w:r>
    </w:p>
    <w:p w14:paraId="3D46C993">
      <w:pPr>
        <w:tabs>
          <w:tab w:val="right" w:pos="993"/>
        </w:tabs>
        <w:ind w:firstLine="567"/>
        <w:jc w:val="both"/>
      </w:pPr>
      <w:r>
        <w:t>В течение 5 рабочих дней со дня подписания акта комиссией для каждого лица, указанного в графике проведения оценки готовности к отопительному периоду, выдается паспорт готовности к отопительному периоду по форме приложения № 6 к Порядку проведения оценки обеспечения готовности к отопительному периоду, утвержденному приказом Минэнерго России от 13.11.2024 № 2234.</w:t>
      </w:r>
    </w:p>
    <w:p w14:paraId="5FAFD30F">
      <w:pPr>
        <w:tabs>
          <w:tab w:val="right" w:pos="9921"/>
        </w:tabs>
        <w:spacing w:before="240" w:after="120"/>
        <w:jc w:val="center"/>
        <w:rPr>
          <w:b/>
          <w:bCs/>
        </w:rPr>
      </w:pPr>
      <w:r>
        <w:rPr>
          <w:b/>
          <w:bCs/>
        </w:rPr>
        <w:t>3. Права и обязанности членов комиссии</w:t>
      </w:r>
    </w:p>
    <w:p w14:paraId="7740CB4D">
      <w:pPr>
        <w:pStyle w:val="16"/>
        <w:numPr>
          <w:ilvl w:val="0"/>
          <w:numId w:val="3"/>
        </w:numPr>
        <w:tabs>
          <w:tab w:val="right" w:pos="1134"/>
        </w:tabs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0BC4358C">
      <w:pPr>
        <w:pStyle w:val="16"/>
        <w:numPr>
          <w:ilvl w:val="0"/>
          <w:numId w:val="3"/>
        </w:numPr>
        <w:tabs>
          <w:tab w:val="right" w:pos="1134"/>
        </w:tabs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0146F6FB">
      <w:pPr>
        <w:pStyle w:val="16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членов комиссии, включая ее председателя и заместителя председателя, должно быть нечетным.</w:t>
      </w:r>
    </w:p>
    <w:p w14:paraId="1A7DBABA">
      <w:pPr>
        <w:pStyle w:val="16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 формируется таким образом, чтобы была исключена возможность, возникновения конфликта интересов, который мог бы повлиять на принимаемые комиссией решения.</w:t>
      </w:r>
    </w:p>
    <w:p w14:paraId="6471263F">
      <w:pPr>
        <w:pStyle w:val="16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и заместитель председателя являются членами комиссии.</w:t>
      </w:r>
    </w:p>
    <w:p w14:paraId="63D51876">
      <w:pPr>
        <w:pStyle w:val="16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отсутствие председателя комиссии его обязанности исполняет заместитель председателя комиссии.</w:t>
      </w:r>
    </w:p>
    <w:p w14:paraId="011859A9">
      <w:pPr>
        <w:pStyle w:val="16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члены комиссии при принятии решений обладают равными правами</w:t>
      </w:r>
    </w:p>
    <w:p w14:paraId="1E34665D">
      <w:pPr>
        <w:pStyle w:val="16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(заместитель председателя) комиссии обязан:</w:t>
      </w:r>
    </w:p>
    <w:p w14:paraId="5B47B994">
      <w:pPr>
        <w:pStyle w:val="16"/>
        <w:numPr>
          <w:ilvl w:val="2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возглавлять комиссию и руководить ее деятельностью;</w:t>
      </w:r>
    </w:p>
    <w:p w14:paraId="69A74628">
      <w:pPr>
        <w:pStyle w:val="16"/>
        <w:numPr>
          <w:ilvl w:val="2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утверждать настоящую программу;</w:t>
      </w:r>
    </w:p>
    <w:p w14:paraId="513B5787">
      <w:pPr>
        <w:pStyle w:val="16"/>
        <w:numPr>
          <w:ilvl w:val="2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плановые и внеплановые заседания комиссии;</w:t>
      </w:r>
    </w:p>
    <w:p w14:paraId="6C99BE91">
      <w:pPr>
        <w:pStyle w:val="16"/>
        <w:numPr>
          <w:ilvl w:val="2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координировать работу комиссии;</w:t>
      </w:r>
    </w:p>
    <w:p w14:paraId="6130A96D">
      <w:pPr>
        <w:pStyle w:val="16"/>
        <w:numPr>
          <w:ilvl w:val="2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сроки выдачи паспортов обеспечения готовности к отопительному периоду.</w:t>
      </w:r>
    </w:p>
    <w:p w14:paraId="22E0920B">
      <w:pPr>
        <w:pStyle w:val="16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 обязаны:</w:t>
      </w:r>
    </w:p>
    <w:p w14:paraId="1C4F6280">
      <w:pPr>
        <w:pStyle w:val="16"/>
        <w:numPr>
          <w:ilvl w:val="2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 участвовать в заседаниях комиссии;</w:t>
      </w:r>
    </w:p>
    <w:p w14:paraId="2C828C50">
      <w:pPr>
        <w:pStyle w:val="16"/>
        <w:numPr>
          <w:ilvl w:val="2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поручения комиссии;</w:t>
      </w:r>
    </w:p>
    <w:p w14:paraId="274D9B4D">
      <w:pPr>
        <w:pStyle w:val="16"/>
        <w:numPr>
          <w:ilvl w:val="2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установленные комиссией ограничения на разглашение информации.</w:t>
      </w:r>
    </w:p>
    <w:p w14:paraId="674BA253">
      <w:pPr>
        <w:pStyle w:val="16"/>
        <w:numPr>
          <w:ilvl w:val="2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возникновении прямой или косвенной личной заинтересованности, которая может привести к конфликту интересов при рассмотрении вопросов, сообщить об этом до начала заседания комиссии.</w:t>
      </w:r>
    </w:p>
    <w:p w14:paraId="5B9F43AF">
      <w:pPr>
        <w:pStyle w:val="16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 имеют право:</w:t>
      </w:r>
    </w:p>
    <w:p w14:paraId="07F4823F">
      <w:pPr>
        <w:pStyle w:val="16"/>
        <w:numPr>
          <w:ilvl w:val="2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участвовать в обсуждении вопросов, рассматриваемых комиссией, вносить предложения и высказываться по любому вопросу, рассматриваемому комиссией.</w:t>
      </w:r>
    </w:p>
    <w:p w14:paraId="4A354D0E">
      <w:pPr>
        <w:tabs>
          <w:tab w:val="right" w:pos="9921"/>
        </w:tabs>
        <w:ind w:firstLine="567"/>
      </w:pPr>
    </w:p>
    <w:p w14:paraId="79D9E554">
      <w:pPr>
        <w:tabs>
          <w:tab w:val="right" w:pos="9921"/>
        </w:tabs>
      </w:pPr>
    </w:p>
    <w:p w14:paraId="373FC027">
      <w:pPr>
        <w:tabs>
          <w:tab w:val="right" w:pos="9921"/>
        </w:tabs>
      </w:pPr>
    </w:p>
    <w:p w14:paraId="23BB5CBB">
      <w:pPr>
        <w:spacing w:after="160" w:line="259" w:lineRule="auto"/>
      </w:pPr>
      <w:r>
        <w:br w:type="page"/>
      </w:r>
    </w:p>
    <w:p w14:paraId="65E12D20">
      <w:pPr>
        <w:tabs>
          <w:tab w:val="right" w:pos="9921"/>
        </w:tabs>
        <w:ind w:left="6237"/>
        <w:jc w:val="both"/>
      </w:pPr>
      <w:r>
        <w:t xml:space="preserve">Приложение </w:t>
      </w:r>
    </w:p>
    <w:p w14:paraId="0A8D1180">
      <w:pPr>
        <w:tabs>
          <w:tab w:val="right" w:pos="9921"/>
        </w:tabs>
        <w:ind w:left="6237"/>
        <w:jc w:val="both"/>
      </w:pPr>
      <w:r>
        <w:t>к программе проведения оценки обеспечения готовности к отопительному периоду, утвержденной постановлением администрации Пензятского сельского поселения</w:t>
      </w:r>
    </w:p>
    <w:p w14:paraId="60E50C0D">
      <w:pPr>
        <w:tabs>
          <w:tab w:val="right" w:pos="9921"/>
        </w:tabs>
        <w:ind w:left="6237"/>
        <w:jc w:val="both"/>
      </w:pPr>
      <w:r>
        <w:t xml:space="preserve"> от 21 июля 2026 г № 54</w:t>
      </w:r>
    </w:p>
    <w:p w14:paraId="4E0C4389">
      <w:pPr>
        <w:tabs>
          <w:tab w:val="right" w:pos="9921"/>
        </w:tabs>
      </w:pPr>
    </w:p>
    <w:p w14:paraId="4787BF6D">
      <w:pPr>
        <w:tabs>
          <w:tab w:val="right" w:pos="9921"/>
        </w:tabs>
      </w:pPr>
    </w:p>
    <w:p w14:paraId="3DC79E93">
      <w:pPr>
        <w:tabs>
          <w:tab w:val="right" w:pos="9921"/>
        </w:tabs>
        <w:jc w:val="center"/>
      </w:pPr>
      <w:r>
        <w:t>График проведения оценки готовности к отопительному периоду</w:t>
      </w:r>
    </w:p>
    <w:p w14:paraId="2E1B4F69">
      <w:pPr>
        <w:tabs>
          <w:tab w:val="right" w:pos="9921"/>
        </w:tabs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5812"/>
        <w:gridCol w:w="2835"/>
      </w:tblGrid>
      <w:tr w14:paraId="129FC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vAlign w:val="center"/>
          </w:tcPr>
          <w:p w14:paraId="68C23919">
            <w:pPr>
              <w:widowControl w:val="0"/>
              <w:tabs>
                <w:tab w:val="right" w:pos="9921"/>
              </w:tabs>
              <w:jc w:val="center"/>
              <w:rPr>
                <w:lang w:val="en-US" w:bidi="en-US"/>
              </w:rPr>
            </w:pPr>
            <w:r>
              <w:rPr>
                <w:lang w:val="en-US" w:bidi="en-US"/>
              </w:rPr>
              <w:t>№ п/п</w:t>
            </w:r>
          </w:p>
        </w:tc>
        <w:tc>
          <w:tcPr>
            <w:tcW w:w="5812" w:type="dxa"/>
            <w:vAlign w:val="center"/>
          </w:tcPr>
          <w:p w14:paraId="7E1558A2">
            <w:pPr>
              <w:widowControl w:val="0"/>
              <w:tabs>
                <w:tab w:val="right" w:pos="9921"/>
              </w:tabs>
              <w:jc w:val="center"/>
              <w:rPr>
                <w:lang w:val="en-US" w:bidi="en-US"/>
              </w:rPr>
            </w:pPr>
            <w:r>
              <w:rPr>
                <w:lang w:val="en-US" w:bidi="en-US"/>
              </w:rPr>
              <w:t>Наименование лица, подлежащего проверке</w:t>
            </w:r>
          </w:p>
        </w:tc>
        <w:tc>
          <w:tcPr>
            <w:tcW w:w="2835" w:type="dxa"/>
            <w:vAlign w:val="center"/>
          </w:tcPr>
          <w:p w14:paraId="677F1D9C">
            <w:pPr>
              <w:widowControl w:val="0"/>
              <w:tabs>
                <w:tab w:val="right" w:pos="9921"/>
              </w:tabs>
              <w:jc w:val="center"/>
              <w:rPr>
                <w:lang w:val="en-US" w:bidi="en-US"/>
              </w:rPr>
            </w:pPr>
            <w:r>
              <w:rPr>
                <w:lang w:val="en-US" w:bidi="en-US"/>
              </w:rPr>
              <w:t>Срок проведения проверки</w:t>
            </w:r>
          </w:p>
        </w:tc>
      </w:tr>
      <w:tr w14:paraId="1B06C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9" w:type="dxa"/>
            <w:gridSpan w:val="3"/>
            <w:vAlign w:val="center"/>
          </w:tcPr>
          <w:p w14:paraId="139A2193">
            <w:pPr>
              <w:widowControl w:val="0"/>
              <w:tabs>
                <w:tab w:val="right" w:pos="9921"/>
              </w:tabs>
              <w:jc w:val="center"/>
              <w:rPr>
                <w:lang w:val="en-US" w:bidi="en-US"/>
              </w:rPr>
            </w:pPr>
            <w:r>
              <w:rPr>
                <w:b/>
                <w:bCs/>
                <w:lang w:val="en-US" w:bidi="en-US"/>
              </w:rPr>
              <w:t>Теплоснабжающие организации , объекты теплоснабжения</w:t>
            </w:r>
          </w:p>
        </w:tc>
      </w:tr>
      <w:tr w14:paraId="4282E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1E0B91C0">
            <w:pPr>
              <w:pStyle w:val="16"/>
              <w:widowControl w:val="0"/>
              <w:numPr>
                <w:ilvl w:val="0"/>
                <w:numId w:val="7"/>
              </w:numPr>
              <w:tabs>
                <w:tab w:val="right" w:pos="992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5812" w:type="dxa"/>
          </w:tcPr>
          <w:p w14:paraId="3CE340AD">
            <w:pPr>
              <w:widowControl w:val="0"/>
              <w:tabs>
                <w:tab w:val="right" w:pos="9921"/>
              </w:tabs>
              <w:rPr>
                <w:lang w:val="en-US" w:bidi="en-US"/>
              </w:rPr>
            </w:pPr>
            <w:r>
              <w:rPr>
                <w:lang w:val="en-US" w:bidi="en-US"/>
              </w:rPr>
              <w:t>ООО «Лямбирские тепло-водо сети»</w:t>
            </w:r>
          </w:p>
        </w:tc>
        <w:tc>
          <w:tcPr>
            <w:tcW w:w="2835" w:type="dxa"/>
          </w:tcPr>
          <w:p w14:paraId="0DC465D2">
            <w:pPr>
              <w:widowControl w:val="0"/>
              <w:tabs>
                <w:tab w:val="right" w:pos="9921"/>
              </w:tabs>
              <w:rPr>
                <w:lang w:val="en-US" w:bidi="en-US"/>
              </w:rPr>
            </w:pPr>
            <w:r>
              <w:rPr>
                <w:lang w:val="en-US" w:bidi="en-US"/>
              </w:rPr>
              <w:t>10.08.2026 – 10.10.2026</w:t>
            </w:r>
          </w:p>
        </w:tc>
      </w:tr>
      <w:tr w14:paraId="5A362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3236930C">
            <w:pPr>
              <w:pStyle w:val="16"/>
              <w:widowControl w:val="0"/>
              <w:numPr>
                <w:ilvl w:val="0"/>
                <w:numId w:val="7"/>
              </w:numPr>
              <w:tabs>
                <w:tab w:val="right" w:pos="992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5812" w:type="dxa"/>
          </w:tcPr>
          <w:p w14:paraId="72B40674">
            <w:pPr>
              <w:widowControl w:val="0"/>
              <w:tabs>
                <w:tab w:val="right" w:pos="9921"/>
              </w:tabs>
              <w:rPr>
                <w:lang w:val="en-US" w:bidi="en-US"/>
              </w:rPr>
            </w:pPr>
            <w:r>
              <w:rPr>
                <w:lang w:val="en-US" w:bidi="en-US"/>
              </w:rPr>
              <w:t>Котельная в с. Пензятка</w:t>
            </w:r>
          </w:p>
        </w:tc>
        <w:tc>
          <w:tcPr>
            <w:tcW w:w="2835" w:type="dxa"/>
          </w:tcPr>
          <w:p w14:paraId="663D56C1">
            <w:pPr>
              <w:widowControl w:val="0"/>
              <w:tabs>
                <w:tab w:val="right" w:pos="9921"/>
              </w:tabs>
              <w:rPr>
                <w:lang w:val="en-US" w:bidi="en-US"/>
              </w:rPr>
            </w:pPr>
            <w:r>
              <w:rPr>
                <w:lang w:val="en-US" w:bidi="en-US"/>
              </w:rPr>
              <w:t>10.08.2026 – 10.10.2026</w:t>
            </w:r>
          </w:p>
        </w:tc>
      </w:tr>
      <w:tr w14:paraId="7BE3B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6B10C6AD">
            <w:pPr>
              <w:pStyle w:val="16"/>
              <w:widowControl w:val="0"/>
              <w:numPr>
                <w:ilvl w:val="0"/>
                <w:numId w:val="7"/>
              </w:numPr>
              <w:tabs>
                <w:tab w:val="right" w:pos="992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5812" w:type="dxa"/>
          </w:tcPr>
          <w:p w14:paraId="7DA2D6A0">
            <w:pPr>
              <w:widowControl w:val="0"/>
              <w:tabs>
                <w:tab w:val="right" w:pos="9921"/>
              </w:tabs>
              <w:rPr>
                <w:lang w:val="en-US" w:bidi="en-US"/>
              </w:rPr>
            </w:pPr>
            <w:r>
              <w:rPr>
                <w:lang w:val="en-US" w:bidi="en-US"/>
              </w:rPr>
              <w:t>Тепловые сети в с. Пензятка</w:t>
            </w:r>
          </w:p>
        </w:tc>
        <w:tc>
          <w:tcPr>
            <w:tcW w:w="2835" w:type="dxa"/>
          </w:tcPr>
          <w:p w14:paraId="6B10BB06">
            <w:pPr>
              <w:widowControl w:val="0"/>
              <w:tabs>
                <w:tab w:val="right" w:pos="9921"/>
              </w:tabs>
              <w:rPr>
                <w:lang w:val="en-US" w:bidi="en-US"/>
              </w:rPr>
            </w:pPr>
            <w:r>
              <w:rPr>
                <w:lang w:val="en-US" w:bidi="en-US"/>
              </w:rPr>
              <w:t>10.08.2026 – 10.10.2026</w:t>
            </w:r>
          </w:p>
        </w:tc>
      </w:tr>
      <w:tr w14:paraId="77E29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69F9C2FE">
            <w:pPr>
              <w:pStyle w:val="16"/>
              <w:widowControl w:val="0"/>
              <w:tabs>
                <w:tab w:val="right" w:pos="9921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8647" w:type="dxa"/>
            <w:gridSpan w:val="2"/>
          </w:tcPr>
          <w:p w14:paraId="3A660BE1">
            <w:pPr>
              <w:widowControl w:val="0"/>
              <w:tabs>
                <w:tab w:val="right" w:pos="9921"/>
              </w:tabs>
              <w:jc w:val="center"/>
              <w:rPr>
                <w:lang w:val="en-US" w:bidi="en-US"/>
              </w:rPr>
            </w:pPr>
            <w:r>
              <w:rPr>
                <w:b/>
                <w:bCs/>
                <w:lang w:val="en-US" w:bidi="en-US"/>
              </w:rPr>
              <w:t>Потребители тепловой энергии</w:t>
            </w:r>
          </w:p>
        </w:tc>
      </w:tr>
      <w:tr w14:paraId="4B313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219903D7">
            <w:pPr>
              <w:pStyle w:val="16"/>
              <w:widowControl w:val="0"/>
              <w:numPr>
                <w:ilvl w:val="0"/>
                <w:numId w:val="8"/>
              </w:numPr>
              <w:tabs>
                <w:tab w:val="right" w:pos="9921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5812" w:type="dxa"/>
          </w:tcPr>
          <w:p w14:paraId="06350462">
            <w:pPr>
              <w:widowControl w:val="0"/>
              <w:tabs>
                <w:tab w:val="right" w:pos="9921"/>
              </w:tabs>
              <w:rPr>
                <w:lang w:val="en-US" w:bidi="en-US"/>
              </w:rPr>
            </w:pPr>
            <w:r>
              <w:rPr>
                <w:lang w:val="en-US" w:bidi="en-US"/>
              </w:rPr>
              <w:t>Многоквартирный жилой дом</w:t>
            </w:r>
            <w:r>
              <w:rPr>
                <w:lang w:val="en-US" w:bidi="en-US"/>
              </w:rPr>
              <w:tab/>
            </w:r>
            <w:r>
              <w:rPr>
                <w:lang w:val="en-US" w:bidi="en-US"/>
              </w:rPr>
              <w:t>ул. Молодежная д.24</w:t>
            </w:r>
          </w:p>
        </w:tc>
        <w:tc>
          <w:tcPr>
            <w:tcW w:w="2835" w:type="dxa"/>
          </w:tcPr>
          <w:p w14:paraId="0520823E">
            <w:pPr>
              <w:widowControl w:val="0"/>
              <w:tabs>
                <w:tab w:val="right" w:pos="9921"/>
              </w:tabs>
              <w:rPr>
                <w:lang w:val="en-US" w:bidi="en-US"/>
              </w:rPr>
            </w:pPr>
            <w:r>
              <w:rPr>
                <w:lang w:val="en-US" w:bidi="en-US"/>
              </w:rPr>
              <w:t>10.08.2026-01.09.2026</w:t>
            </w:r>
          </w:p>
        </w:tc>
      </w:tr>
      <w:tr w14:paraId="4911A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39D98E33">
            <w:pPr>
              <w:pStyle w:val="16"/>
              <w:widowControl w:val="0"/>
              <w:numPr>
                <w:ilvl w:val="0"/>
                <w:numId w:val="8"/>
              </w:numPr>
              <w:tabs>
                <w:tab w:val="right" w:pos="9921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5812" w:type="dxa"/>
          </w:tcPr>
          <w:p w14:paraId="6A310AB3">
            <w:pPr>
              <w:widowControl w:val="0"/>
              <w:tabs>
                <w:tab w:val="right" w:pos="9921"/>
              </w:tabs>
              <w:rPr>
                <w:lang w:val="en-US" w:bidi="en-US"/>
              </w:rPr>
            </w:pPr>
            <w:r>
              <w:rPr>
                <w:lang w:val="en-US" w:bidi="en-US"/>
              </w:rPr>
              <w:t>Многоквартирный жилой дом</w:t>
            </w:r>
            <w:r>
              <w:rPr>
                <w:lang w:val="en-US" w:bidi="en-US"/>
              </w:rPr>
              <w:tab/>
            </w:r>
            <w:r>
              <w:rPr>
                <w:lang w:val="en-US" w:bidi="en-US"/>
              </w:rPr>
              <w:t>ул. Молодежная д. 26</w:t>
            </w:r>
          </w:p>
        </w:tc>
        <w:tc>
          <w:tcPr>
            <w:tcW w:w="2835" w:type="dxa"/>
          </w:tcPr>
          <w:p w14:paraId="690D94C8">
            <w:pPr>
              <w:widowControl w:val="0"/>
              <w:tabs>
                <w:tab w:val="right" w:pos="9921"/>
              </w:tabs>
              <w:rPr>
                <w:lang w:val="en-US" w:bidi="en-US"/>
              </w:rPr>
            </w:pPr>
            <w:r>
              <w:rPr>
                <w:lang w:val="en-US" w:bidi="en-US"/>
              </w:rPr>
              <w:t>10.08.2026-01.09.2026</w:t>
            </w:r>
          </w:p>
        </w:tc>
      </w:tr>
      <w:tr w14:paraId="4FF61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454B3AD7">
            <w:pPr>
              <w:pStyle w:val="16"/>
              <w:widowControl w:val="0"/>
              <w:numPr>
                <w:ilvl w:val="0"/>
                <w:numId w:val="8"/>
              </w:numPr>
              <w:tabs>
                <w:tab w:val="right" w:pos="9921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5812" w:type="dxa"/>
          </w:tcPr>
          <w:p w14:paraId="721D2118">
            <w:pPr>
              <w:widowControl w:val="0"/>
              <w:tabs>
                <w:tab w:val="right" w:pos="9921"/>
              </w:tabs>
              <w:rPr>
                <w:lang w:val="en-US" w:bidi="en-US"/>
              </w:rPr>
            </w:pPr>
            <w:r>
              <w:rPr>
                <w:lang w:val="en-US" w:bidi="en-US"/>
              </w:rPr>
              <w:t>Многоквартирный жилой дом</w:t>
            </w:r>
            <w:r>
              <w:rPr>
                <w:lang w:val="en-US" w:bidi="en-US"/>
              </w:rPr>
              <w:tab/>
            </w:r>
            <w:r>
              <w:rPr>
                <w:lang w:val="en-US" w:bidi="en-US"/>
              </w:rPr>
              <w:t>ул. Молодежная д. 28</w:t>
            </w:r>
          </w:p>
        </w:tc>
        <w:tc>
          <w:tcPr>
            <w:tcW w:w="2835" w:type="dxa"/>
          </w:tcPr>
          <w:p w14:paraId="1F59B80A">
            <w:pPr>
              <w:widowControl w:val="0"/>
              <w:tabs>
                <w:tab w:val="right" w:pos="9921"/>
              </w:tabs>
              <w:rPr>
                <w:lang w:val="en-US" w:bidi="en-US"/>
              </w:rPr>
            </w:pPr>
            <w:r>
              <w:rPr>
                <w:lang w:val="en-US" w:bidi="en-US"/>
              </w:rPr>
              <w:t>10.08.2026-01.09.2026</w:t>
            </w:r>
          </w:p>
        </w:tc>
      </w:tr>
      <w:tr w14:paraId="780A7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2EF50D3F">
            <w:pPr>
              <w:pStyle w:val="16"/>
              <w:widowControl w:val="0"/>
              <w:numPr>
                <w:ilvl w:val="0"/>
                <w:numId w:val="8"/>
              </w:numPr>
              <w:tabs>
                <w:tab w:val="right" w:pos="9921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5812" w:type="dxa"/>
          </w:tcPr>
          <w:p w14:paraId="0A0A059A">
            <w:pPr>
              <w:widowControl w:val="0"/>
              <w:tabs>
                <w:tab w:val="right" w:pos="9921"/>
              </w:tabs>
              <w:rPr>
                <w:lang w:val="en-US" w:bidi="en-US"/>
              </w:rPr>
            </w:pPr>
            <w:r>
              <w:rPr>
                <w:lang w:val="en-US" w:eastAsia="en-US" w:bidi="en-US"/>
              </w:rPr>
              <w:t>Администрация Аксеновского сельского поселения</w:t>
            </w:r>
          </w:p>
        </w:tc>
        <w:tc>
          <w:tcPr>
            <w:tcW w:w="2835" w:type="dxa"/>
          </w:tcPr>
          <w:p w14:paraId="4B18232E">
            <w:pPr>
              <w:widowControl w:val="0"/>
              <w:tabs>
                <w:tab w:val="right" w:pos="9921"/>
              </w:tabs>
              <w:rPr>
                <w:lang w:val="en-US" w:bidi="en-US"/>
              </w:rPr>
            </w:pPr>
            <w:r>
              <w:rPr>
                <w:lang w:val="en-US" w:bidi="en-US"/>
              </w:rPr>
              <w:t>10.08.2026-01.09.2026</w:t>
            </w:r>
          </w:p>
        </w:tc>
      </w:tr>
      <w:tr w14:paraId="64387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43F637C6">
            <w:pPr>
              <w:pStyle w:val="16"/>
              <w:widowControl w:val="0"/>
              <w:numPr>
                <w:ilvl w:val="0"/>
                <w:numId w:val="8"/>
              </w:numPr>
              <w:tabs>
                <w:tab w:val="right" w:pos="9921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5812" w:type="dxa"/>
          </w:tcPr>
          <w:p w14:paraId="57C688DC">
            <w:pPr>
              <w:widowControl w:val="0"/>
              <w:tabs>
                <w:tab w:val="right" w:pos="9921"/>
              </w:tabs>
              <w:rPr>
                <w:lang w:val="en-US" w:bidi="en-US"/>
              </w:rPr>
            </w:pPr>
            <w:r>
              <w:rPr>
                <w:lang w:val="en-US" w:bidi="en-US"/>
              </w:rPr>
              <w:t>Муниципальное автономное учреждение Лямбирского муниципального района Республики Мордовия “Культурно-спортивный центр “Алмаз” филиал №1 «Аксеновский сельский клуб»</w:t>
            </w:r>
          </w:p>
        </w:tc>
        <w:tc>
          <w:tcPr>
            <w:tcW w:w="2835" w:type="dxa"/>
          </w:tcPr>
          <w:p w14:paraId="3F70C4BE">
            <w:pPr>
              <w:widowControl w:val="0"/>
              <w:tabs>
                <w:tab w:val="right" w:pos="9921"/>
              </w:tabs>
              <w:rPr>
                <w:lang w:val="en-US" w:bidi="en-US"/>
              </w:rPr>
            </w:pPr>
            <w:r>
              <w:rPr>
                <w:lang w:val="en-US" w:bidi="en-US"/>
              </w:rPr>
              <w:t>10.08.2026-01.09.2026</w:t>
            </w:r>
          </w:p>
        </w:tc>
      </w:tr>
      <w:tr w14:paraId="4DA1E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9" w:type="dxa"/>
            <w:gridSpan w:val="3"/>
          </w:tcPr>
          <w:p w14:paraId="6FB353C7">
            <w:pPr>
              <w:widowControl w:val="0"/>
              <w:tabs>
                <w:tab w:val="right" w:pos="9921"/>
              </w:tabs>
              <w:jc w:val="center"/>
              <w:rPr>
                <w:lang w:val="en-US" w:bidi="en-US"/>
              </w:rPr>
            </w:pPr>
            <w:r>
              <w:rPr>
                <w:b/>
                <w:bCs/>
                <w:lang w:val="en-US" w:bidi="en-US"/>
              </w:rPr>
              <w:t>Управляющие организации</w:t>
            </w:r>
          </w:p>
        </w:tc>
      </w:tr>
      <w:tr w14:paraId="63133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394C7568">
            <w:pPr>
              <w:pStyle w:val="16"/>
              <w:widowControl w:val="0"/>
              <w:numPr>
                <w:ilvl w:val="0"/>
                <w:numId w:val="9"/>
              </w:numPr>
              <w:tabs>
                <w:tab w:val="right" w:pos="9921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5812" w:type="dxa"/>
          </w:tcPr>
          <w:p w14:paraId="4540E8FA">
            <w:pPr>
              <w:widowControl w:val="0"/>
              <w:tabs>
                <w:tab w:val="right" w:pos="9921"/>
              </w:tabs>
              <w:rPr>
                <w:lang w:val="en-US" w:bidi="en-US"/>
              </w:rPr>
            </w:pPr>
            <w:r>
              <w:rPr>
                <w:lang w:val="en-US" w:bidi="en-US"/>
              </w:rPr>
              <w:t>ООО «УК Лямбирькомжилсервис»</w:t>
            </w:r>
          </w:p>
        </w:tc>
        <w:tc>
          <w:tcPr>
            <w:tcW w:w="2835" w:type="dxa"/>
          </w:tcPr>
          <w:p w14:paraId="5909ABDD">
            <w:pPr>
              <w:widowControl w:val="0"/>
              <w:tabs>
                <w:tab w:val="right" w:pos="9921"/>
              </w:tabs>
              <w:rPr>
                <w:lang w:val="en-US" w:bidi="en-US"/>
              </w:rPr>
            </w:pPr>
            <w:r>
              <w:rPr>
                <w:lang w:val="en-US" w:bidi="en-US"/>
              </w:rPr>
              <w:t>10.08.2026-01.09.2026</w:t>
            </w:r>
          </w:p>
        </w:tc>
      </w:tr>
      <w:tr w14:paraId="7A2BB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7272E9DE">
            <w:pPr>
              <w:pStyle w:val="16"/>
              <w:widowControl w:val="0"/>
              <w:numPr>
                <w:ilvl w:val="0"/>
                <w:numId w:val="9"/>
              </w:numPr>
              <w:tabs>
                <w:tab w:val="right" w:pos="9921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5812" w:type="dxa"/>
          </w:tcPr>
          <w:p w14:paraId="3D82D3BF">
            <w:pPr>
              <w:widowControl w:val="0"/>
              <w:tabs>
                <w:tab w:val="right" w:pos="9921"/>
              </w:tabs>
              <w:rPr>
                <w:lang w:val="en-US" w:bidi="en-US"/>
              </w:rPr>
            </w:pPr>
          </w:p>
        </w:tc>
        <w:tc>
          <w:tcPr>
            <w:tcW w:w="2835" w:type="dxa"/>
          </w:tcPr>
          <w:p w14:paraId="70C6154A">
            <w:pPr>
              <w:widowControl w:val="0"/>
              <w:tabs>
                <w:tab w:val="right" w:pos="9921"/>
              </w:tabs>
              <w:rPr>
                <w:lang w:val="en-US" w:bidi="en-US"/>
              </w:rPr>
            </w:pPr>
          </w:p>
        </w:tc>
      </w:tr>
      <w:tr w14:paraId="2AA08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7933C1E4">
            <w:pPr>
              <w:pStyle w:val="16"/>
              <w:widowControl w:val="0"/>
              <w:numPr>
                <w:ilvl w:val="0"/>
                <w:numId w:val="9"/>
              </w:numPr>
              <w:tabs>
                <w:tab w:val="right" w:pos="9921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5812" w:type="dxa"/>
          </w:tcPr>
          <w:p w14:paraId="51A2525F">
            <w:pPr>
              <w:widowControl w:val="0"/>
              <w:tabs>
                <w:tab w:val="right" w:pos="9921"/>
              </w:tabs>
              <w:rPr>
                <w:lang w:val="en-US" w:bidi="en-US"/>
              </w:rPr>
            </w:pPr>
          </w:p>
        </w:tc>
        <w:tc>
          <w:tcPr>
            <w:tcW w:w="2835" w:type="dxa"/>
          </w:tcPr>
          <w:p w14:paraId="155CF7F1">
            <w:pPr>
              <w:widowControl w:val="0"/>
              <w:tabs>
                <w:tab w:val="right" w:pos="9921"/>
              </w:tabs>
              <w:rPr>
                <w:lang w:val="en-US" w:bidi="en-US"/>
              </w:rPr>
            </w:pPr>
          </w:p>
        </w:tc>
      </w:tr>
    </w:tbl>
    <w:p w14:paraId="6BCCBE5A">
      <w:pPr>
        <w:tabs>
          <w:tab w:val="right" w:pos="9921"/>
        </w:tabs>
      </w:pPr>
    </w:p>
    <w:sectPr>
      <w:pgSz w:w="11906" w:h="16838"/>
      <w:pgMar w:top="1134" w:right="851" w:bottom="1134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8C35C8"/>
    <w:multiLevelType w:val="multilevel"/>
    <w:tmpl w:val="008C35C8"/>
    <w:lvl w:ilvl="0" w:tentative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473824"/>
    <w:multiLevelType w:val="multilevel"/>
    <w:tmpl w:val="0C473824"/>
    <w:lvl w:ilvl="0" w:tentative="0">
      <w:start w:val="1"/>
      <w:numFmt w:val="bullet"/>
      <w:lvlText w:val="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">
    <w:nsid w:val="169505FD"/>
    <w:multiLevelType w:val="multilevel"/>
    <w:tmpl w:val="169505FD"/>
    <w:lvl w:ilvl="0" w:tentative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845BBA"/>
    <w:multiLevelType w:val="multilevel"/>
    <w:tmpl w:val="1E845BBA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269021B9"/>
    <w:multiLevelType w:val="multilevel"/>
    <w:tmpl w:val="269021B9"/>
    <w:lvl w:ilvl="0" w:tentative="0">
      <w:start w:val="1"/>
      <w:numFmt w:val="bullet"/>
      <w:lvlText w:val=""/>
      <w:lvlJc w:val="left"/>
      <w:pPr>
        <w:ind w:left="151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232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952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72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92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112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32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552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72" w:hanging="360"/>
      </w:pPr>
      <w:rPr>
        <w:rFonts w:hint="default" w:ascii="Wingdings" w:hAnsi="Wingdings"/>
      </w:rPr>
    </w:lvl>
  </w:abstractNum>
  <w:abstractNum w:abstractNumId="5">
    <w:nsid w:val="27517CDC"/>
    <w:multiLevelType w:val="multilevel"/>
    <w:tmpl w:val="27517CDC"/>
    <w:lvl w:ilvl="0" w:tentative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E1A644D"/>
    <w:multiLevelType w:val="multilevel"/>
    <w:tmpl w:val="2E1A644D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decimal"/>
      <w:lvlText w:val="%1.%2."/>
      <w:lvlJc w:val="left"/>
      <w:pPr>
        <w:ind w:left="792" w:hanging="432"/>
      </w:pPr>
    </w:lvl>
    <w:lvl w:ilvl="2" w:tentative="0">
      <w:start w:val="1"/>
      <w:numFmt w:val="decimal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8AF3268"/>
    <w:multiLevelType w:val="multilevel"/>
    <w:tmpl w:val="48AF3268"/>
    <w:lvl w:ilvl="0" w:tentative="0">
      <w:start w:val="1"/>
      <w:numFmt w:val="decimal"/>
      <w:lvlText w:val="%1."/>
      <w:lvlJc w:val="left"/>
      <w:pPr>
        <w:ind w:left="1287" w:hanging="360"/>
      </w:pPr>
    </w:lvl>
    <w:lvl w:ilvl="1" w:tentative="0">
      <w:start w:val="1"/>
      <w:numFmt w:val="lowerLetter"/>
      <w:lvlText w:val="%2."/>
      <w:lvlJc w:val="left"/>
      <w:pPr>
        <w:ind w:left="2007" w:hanging="360"/>
      </w:pPr>
    </w:lvl>
    <w:lvl w:ilvl="2" w:tentative="0">
      <w:start w:val="1"/>
      <w:numFmt w:val="lowerRoman"/>
      <w:lvlText w:val="%3."/>
      <w:lvlJc w:val="right"/>
      <w:pPr>
        <w:ind w:left="2727" w:hanging="180"/>
      </w:pPr>
    </w:lvl>
    <w:lvl w:ilvl="3" w:tentative="0">
      <w:start w:val="1"/>
      <w:numFmt w:val="decimal"/>
      <w:lvlText w:val="%4."/>
      <w:lvlJc w:val="left"/>
      <w:pPr>
        <w:ind w:left="3447" w:hanging="360"/>
      </w:pPr>
    </w:lvl>
    <w:lvl w:ilvl="4" w:tentative="0">
      <w:start w:val="1"/>
      <w:numFmt w:val="lowerLetter"/>
      <w:lvlText w:val="%5."/>
      <w:lvlJc w:val="left"/>
      <w:pPr>
        <w:ind w:left="4167" w:hanging="360"/>
      </w:pPr>
    </w:lvl>
    <w:lvl w:ilvl="5" w:tentative="0">
      <w:start w:val="1"/>
      <w:numFmt w:val="lowerRoman"/>
      <w:lvlText w:val="%6."/>
      <w:lvlJc w:val="right"/>
      <w:pPr>
        <w:ind w:left="4887" w:hanging="180"/>
      </w:pPr>
    </w:lvl>
    <w:lvl w:ilvl="6" w:tentative="0">
      <w:start w:val="1"/>
      <w:numFmt w:val="decimal"/>
      <w:lvlText w:val="%7."/>
      <w:lvlJc w:val="left"/>
      <w:pPr>
        <w:ind w:left="5607" w:hanging="360"/>
      </w:pPr>
    </w:lvl>
    <w:lvl w:ilvl="7" w:tentative="0">
      <w:start w:val="1"/>
      <w:numFmt w:val="lowerLetter"/>
      <w:lvlText w:val="%8."/>
      <w:lvlJc w:val="left"/>
      <w:pPr>
        <w:ind w:left="6327" w:hanging="360"/>
      </w:pPr>
    </w:lvl>
    <w:lvl w:ilvl="8" w:tentative="0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205437E"/>
    <w:multiLevelType w:val="multilevel"/>
    <w:tmpl w:val="5205437E"/>
    <w:lvl w:ilvl="0" w:tentative="0">
      <w:start w:val="1"/>
      <w:numFmt w:val="bullet"/>
      <w:lvlText w:val="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8"/>
  </w:num>
  <w:num w:numId="6">
    <w:abstractNumId w:val="3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375"/>
    <w:rsid w:val="00007AC2"/>
    <w:rsid w:val="00021C74"/>
    <w:rsid w:val="00024306"/>
    <w:rsid w:val="00033CD1"/>
    <w:rsid w:val="000350EC"/>
    <w:rsid w:val="000612F6"/>
    <w:rsid w:val="000630AB"/>
    <w:rsid w:val="00067B50"/>
    <w:rsid w:val="000706DE"/>
    <w:rsid w:val="00075CC5"/>
    <w:rsid w:val="0008290E"/>
    <w:rsid w:val="00085440"/>
    <w:rsid w:val="000A7736"/>
    <w:rsid w:val="000A7EC3"/>
    <w:rsid w:val="000C7098"/>
    <w:rsid w:val="000E0C4F"/>
    <w:rsid w:val="000E4642"/>
    <w:rsid w:val="000F0914"/>
    <w:rsid w:val="00101EE1"/>
    <w:rsid w:val="00131B8F"/>
    <w:rsid w:val="00155F11"/>
    <w:rsid w:val="001608A9"/>
    <w:rsid w:val="00175A11"/>
    <w:rsid w:val="00175AEF"/>
    <w:rsid w:val="00181CFC"/>
    <w:rsid w:val="001909A9"/>
    <w:rsid w:val="001930A3"/>
    <w:rsid w:val="00197362"/>
    <w:rsid w:val="001A01F1"/>
    <w:rsid w:val="001C2F3D"/>
    <w:rsid w:val="001C6DFA"/>
    <w:rsid w:val="00213EF1"/>
    <w:rsid w:val="00222272"/>
    <w:rsid w:val="002316E8"/>
    <w:rsid w:val="00232AD0"/>
    <w:rsid w:val="0023329F"/>
    <w:rsid w:val="002345B7"/>
    <w:rsid w:val="00245ACC"/>
    <w:rsid w:val="00251240"/>
    <w:rsid w:val="00254FD0"/>
    <w:rsid w:val="00271FFC"/>
    <w:rsid w:val="002743D0"/>
    <w:rsid w:val="00274DCD"/>
    <w:rsid w:val="00275540"/>
    <w:rsid w:val="00276A23"/>
    <w:rsid w:val="002801C1"/>
    <w:rsid w:val="002822F2"/>
    <w:rsid w:val="002835E4"/>
    <w:rsid w:val="00292058"/>
    <w:rsid w:val="00293E2F"/>
    <w:rsid w:val="002A4DD3"/>
    <w:rsid w:val="002A54BC"/>
    <w:rsid w:val="002B09E2"/>
    <w:rsid w:val="002C4EAC"/>
    <w:rsid w:val="002C7B71"/>
    <w:rsid w:val="002E4D10"/>
    <w:rsid w:val="002F08BE"/>
    <w:rsid w:val="002F228D"/>
    <w:rsid w:val="002F379D"/>
    <w:rsid w:val="002F4028"/>
    <w:rsid w:val="00303A5F"/>
    <w:rsid w:val="0033342F"/>
    <w:rsid w:val="003358E3"/>
    <w:rsid w:val="00336085"/>
    <w:rsid w:val="00353D41"/>
    <w:rsid w:val="00355E56"/>
    <w:rsid w:val="003668A2"/>
    <w:rsid w:val="00372738"/>
    <w:rsid w:val="00375308"/>
    <w:rsid w:val="003753C4"/>
    <w:rsid w:val="003810D1"/>
    <w:rsid w:val="003A3E71"/>
    <w:rsid w:val="003C4549"/>
    <w:rsid w:val="003D17E2"/>
    <w:rsid w:val="003D6C20"/>
    <w:rsid w:val="003E0CBE"/>
    <w:rsid w:val="003E1639"/>
    <w:rsid w:val="003E2D96"/>
    <w:rsid w:val="003F0235"/>
    <w:rsid w:val="00402EBD"/>
    <w:rsid w:val="00403410"/>
    <w:rsid w:val="00404A15"/>
    <w:rsid w:val="00421C1E"/>
    <w:rsid w:val="004231A3"/>
    <w:rsid w:val="00425F73"/>
    <w:rsid w:val="00426066"/>
    <w:rsid w:val="004412DC"/>
    <w:rsid w:val="00441655"/>
    <w:rsid w:val="0045171D"/>
    <w:rsid w:val="004563DA"/>
    <w:rsid w:val="00457CEB"/>
    <w:rsid w:val="004616DD"/>
    <w:rsid w:val="00461A8B"/>
    <w:rsid w:val="00473A24"/>
    <w:rsid w:val="00491E38"/>
    <w:rsid w:val="00495E0D"/>
    <w:rsid w:val="00496104"/>
    <w:rsid w:val="004A7409"/>
    <w:rsid w:val="004B049A"/>
    <w:rsid w:val="004B0A40"/>
    <w:rsid w:val="004B3C88"/>
    <w:rsid w:val="004C07BE"/>
    <w:rsid w:val="004C4F2C"/>
    <w:rsid w:val="004D38D2"/>
    <w:rsid w:val="004F3EAA"/>
    <w:rsid w:val="00503F20"/>
    <w:rsid w:val="0050546F"/>
    <w:rsid w:val="00530598"/>
    <w:rsid w:val="0053171C"/>
    <w:rsid w:val="00533110"/>
    <w:rsid w:val="0053612D"/>
    <w:rsid w:val="00545BF3"/>
    <w:rsid w:val="005867AD"/>
    <w:rsid w:val="005C79B9"/>
    <w:rsid w:val="005D2972"/>
    <w:rsid w:val="005D5431"/>
    <w:rsid w:val="005D5D5B"/>
    <w:rsid w:val="005F28FE"/>
    <w:rsid w:val="005F6398"/>
    <w:rsid w:val="00606004"/>
    <w:rsid w:val="00607485"/>
    <w:rsid w:val="0061207A"/>
    <w:rsid w:val="00615F7F"/>
    <w:rsid w:val="00624AA5"/>
    <w:rsid w:val="00637CC4"/>
    <w:rsid w:val="00640FAA"/>
    <w:rsid w:val="00647698"/>
    <w:rsid w:val="006526C6"/>
    <w:rsid w:val="00655CB6"/>
    <w:rsid w:val="0065792E"/>
    <w:rsid w:val="0066130A"/>
    <w:rsid w:val="00661515"/>
    <w:rsid w:val="006643EA"/>
    <w:rsid w:val="00664867"/>
    <w:rsid w:val="00666F38"/>
    <w:rsid w:val="00667FED"/>
    <w:rsid w:val="006746CA"/>
    <w:rsid w:val="00675FAA"/>
    <w:rsid w:val="00690990"/>
    <w:rsid w:val="00691B4C"/>
    <w:rsid w:val="00691BB9"/>
    <w:rsid w:val="00693AFD"/>
    <w:rsid w:val="00695B20"/>
    <w:rsid w:val="006A230E"/>
    <w:rsid w:val="006B1971"/>
    <w:rsid w:val="006B31FD"/>
    <w:rsid w:val="006C112D"/>
    <w:rsid w:val="006C36E7"/>
    <w:rsid w:val="006C49DF"/>
    <w:rsid w:val="006D69F1"/>
    <w:rsid w:val="006E1A92"/>
    <w:rsid w:val="006E237E"/>
    <w:rsid w:val="006F005E"/>
    <w:rsid w:val="00701FBF"/>
    <w:rsid w:val="007100E0"/>
    <w:rsid w:val="00715563"/>
    <w:rsid w:val="00716CCE"/>
    <w:rsid w:val="00727DEB"/>
    <w:rsid w:val="00761EAA"/>
    <w:rsid w:val="00762C6F"/>
    <w:rsid w:val="007635A3"/>
    <w:rsid w:val="00787104"/>
    <w:rsid w:val="00793FFF"/>
    <w:rsid w:val="007A1C3B"/>
    <w:rsid w:val="007B42F0"/>
    <w:rsid w:val="007C50F1"/>
    <w:rsid w:val="007D79CF"/>
    <w:rsid w:val="007E04A6"/>
    <w:rsid w:val="007E6482"/>
    <w:rsid w:val="007E7E72"/>
    <w:rsid w:val="007F5113"/>
    <w:rsid w:val="00803755"/>
    <w:rsid w:val="00810942"/>
    <w:rsid w:val="0082280F"/>
    <w:rsid w:val="0082596E"/>
    <w:rsid w:val="00834B84"/>
    <w:rsid w:val="008400A9"/>
    <w:rsid w:val="00853C0A"/>
    <w:rsid w:val="00855F34"/>
    <w:rsid w:val="00857407"/>
    <w:rsid w:val="00857F68"/>
    <w:rsid w:val="0087453E"/>
    <w:rsid w:val="0088227E"/>
    <w:rsid w:val="00893E99"/>
    <w:rsid w:val="008B1E5A"/>
    <w:rsid w:val="008B3A79"/>
    <w:rsid w:val="008C2D5A"/>
    <w:rsid w:val="008C312D"/>
    <w:rsid w:val="008D5918"/>
    <w:rsid w:val="008F745B"/>
    <w:rsid w:val="0090079E"/>
    <w:rsid w:val="00903D42"/>
    <w:rsid w:val="00904929"/>
    <w:rsid w:val="00920501"/>
    <w:rsid w:val="00927268"/>
    <w:rsid w:val="00941390"/>
    <w:rsid w:val="0094470C"/>
    <w:rsid w:val="00945AE7"/>
    <w:rsid w:val="0095459D"/>
    <w:rsid w:val="00980A65"/>
    <w:rsid w:val="009A6E6B"/>
    <w:rsid w:val="009B2DCF"/>
    <w:rsid w:val="009B7C07"/>
    <w:rsid w:val="009C278B"/>
    <w:rsid w:val="009C78DF"/>
    <w:rsid w:val="009E68CF"/>
    <w:rsid w:val="00A10E0D"/>
    <w:rsid w:val="00A20C45"/>
    <w:rsid w:val="00A22973"/>
    <w:rsid w:val="00A33F8A"/>
    <w:rsid w:val="00A400DF"/>
    <w:rsid w:val="00A42E10"/>
    <w:rsid w:val="00A44E63"/>
    <w:rsid w:val="00A66385"/>
    <w:rsid w:val="00A81659"/>
    <w:rsid w:val="00A858A8"/>
    <w:rsid w:val="00A93603"/>
    <w:rsid w:val="00A9471D"/>
    <w:rsid w:val="00AA2DFB"/>
    <w:rsid w:val="00AA446B"/>
    <w:rsid w:val="00AA511C"/>
    <w:rsid w:val="00AB03B3"/>
    <w:rsid w:val="00AB5785"/>
    <w:rsid w:val="00AB5795"/>
    <w:rsid w:val="00AC6D8F"/>
    <w:rsid w:val="00AD24D9"/>
    <w:rsid w:val="00AF693C"/>
    <w:rsid w:val="00AF7B00"/>
    <w:rsid w:val="00B23141"/>
    <w:rsid w:val="00B240CE"/>
    <w:rsid w:val="00B2437D"/>
    <w:rsid w:val="00B2671E"/>
    <w:rsid w:val="00B36375"/>
    <w:rsid w:val="00B47FC8"/>
    <w:rsid w:val="00B55B1D"/>
    <w:rsid w:val="00B64561"/>
    <w:rsid w:val="00B65A1D"/>
    <w:rsid w:val="00B73186"/>
    <w:rsid w:val="00B812A3"/>
    <w:rsid w:val="00B81C8F"/>
    <w:rsid w:val="00BA525F"/>
    <w:rsid w:val="00BA5FEE"/>
    <w:rsid w:val="00BB282D"/>
    <w:rsid w:val="00BB5803"/>
    <w:rsid w:val="00BC30DD"/>
    <w:rsid w:val="00BD2598"/>
    <w:rsid w:val="00BE6049"/>
    <w:rsid w:val="00BF15EC"/>
    <w:rsid w:val="00BF7940"/>
    <w:rsid w:val="00C16395"/>
    <w:rsid w:val="00C17049"/>
    <w:rsid w:val="00C26081"/>
    <w:rsid w:val="00C363DA"/>
    <w:rsid w:val="00C461EC"/>
    <w:rsid w:val="00C61F39"/>
    <w:rsid w:val="00C63824"/>
    <w:rsid w:val="00C74735"/>
    <w:rsid w:val="00C91FB2"/>
    <w:rsid w:val="00C92B78"/>
    <w:rsid w:val="00C96EA7"/>
    <w:rsid w:val="00CA541D"/>
    <w:rsid w:val="00CB1962"/>
    <w:rsid w:val="00CC1942"/>
    <w:rsid w:val="00CC4E49"/>
    <w:rsid w:val="00CE0619"/>
    <w:rsid w:val="00CE27F2"/>
    <w:rsid w:val="00CE2E3E"/>
    <w:rsid w:val="00CE6B96"/>
    <w:rsid w:val="00D02A32"/>
    <w:rsid w:val="00D20EF1"/>
    <w:rsid w:val="00D2760E"/>
    <w:rsid w:val="00D36348"/>
    <w:rsid w:val="00D36BEC"/>
    <w:rsid w:val="00D42643"/>
    <w:rsid w:val="00D44540"/>
    <w:rsid w:val="00D83A12"/>
    <w:rsid w:val="00D87EE9"/>
    <w:rsid w:val="00D949EB"/>
    <w:rsid w:val="00DB2533"/>
    <w:rsid w:val="00DB7016"/>
    <w:rsid w:val="00DC334B"/>
    <w:rsid w:val="00DC35AE"/>
    <w:rsid w:val="00DD39EE"/>
    <w:rsid w:val="00DE04DF"/>
    <w:rsid w:val="00DE16C4"/>
    <w:rsid w:val="00DE281E"/>
    <w:rsid w:val="00E12773"/>
    <w:rsid w:val="00E140DE"/>
    <w:rsid w:val="00E17229"/>
    <w:rsid w:val="00E178FE"/>
    <w:rsid w:val="00E17FD5"/>
    <w:rsid w:val="00E20756"/>
    <w:rsid w:val="00E2208C"/>
    <w:rsid w:val="00E25744"/>
    <w:rsid w:val="00E312D8"/>
    <w:rsid w:val="00E41D75"/>
    <w:rsid w:val="00E41DBF"/>
    <w:rsid w:val="00E424BD"/>
    <w:rsid w:val="00E5401E"/>
    <w:rsid w:val="00E5456B"/>
    <w:rsid w:val="00E558C6"/>
    <w:rsid w:val="00E55B29"/>
    <w:rsid w:val="00E60599"/>
    <w:rsid w:val="00E60EBC"/>
    <w:rsid w:val="00E73270"/>
    <w:rsid w:val="00E74D9D"/>
    <w:rsid w:val="00E75CAF"/>
    <w:rsid w:val="00E8268D"/>
    <w:rsid w:val="00E92B0C"/>
    <w:rsid w:val="00E93679"/>
    <w:rsid w:val="00E94D58"/>
    <w:rsid w:val="00E958D6"/>
    <w:rsid w:val="00EA5E47"/>
    <w:rsid w:val="00EA6CDD"/>
    <w:rsid w:val="00EC0B2C"/>
    <w:rsid w:val="00EE17C1"/>
    <w:rsid w:val="00EF0723"/>
    <w:rsid w:val="00EF0D68"/>
    <w:rsid w:val="00EF39FB"/>
    <w:rsid w:val="00EF5B65"/>
    <w:rsid w:val="00F05705"/>
    <w:rsid w:val="00F15580"/>
    <w:rsid w:val="00F2335C"/>
    <w:rsid w:val="00F318D3"/>
    <w:rsid w:val="00F4524B"/>
    <w:rsid w:val="00F5140A"/>
    <w:rsid w:val="00F5349F"/>
    <w:rsid w:val="00F7548E"/>
    <w:rsid w:val="00FA0523"/>
    <w:rsid w:val="00FB31F1"/>
    <w:rsid w:val="00FD2BB1"/>
    <w:rsid w:val="00FD5AE4"/>
    <w:rsid w:val="00FE104D"/>
    <w:rsid w:val="00FF0862"/>
    <w:rsid w:val="19212C7C"/>
    <w:rsid w:val="5A76124F"/>
    <w:rsid w:val="5DAF3376"/>
    <w:rsid w:val="7FF9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5">
    <w:name w:val="Body Text"/>
    <w:basedOn w:val="1"/>
    <w:link w:val="24"/>
    <w:qFormat/>
    <w:uiPriority w:val="1"/>
    <w:pPr>
      <w:widowControl w:val="0"/>
      <w:autoSpaceDE w:val="0"/>
      <w:autoSpaceDN w:val="0"/>
    </w:pPr>
    <w:rPr>
      <w:sz w:val="28"/>
      <w:szCs w:val="28"/>
      <w:lang w:eastAsia="en-US"/>
    </w:rPr>
  </w:style>
  <w:style w:type="paragraph" w:styleId="6">
    <w:name w:val="caption"/>
    <w:basedOn w:val="1"/>
    <w:next w:val="1"/>
    <w:qFormat/>
    <w:uiPriority w:val="0"/>
    <w:pPr>
      <w:widowControl w:val="0"/>
      <w:shd w:val="clear" w:color="auto" w:fill="FFFFFF"/>
      <w:autoSpaceDE w:val="0"/>
      <w:autoSpaceDN w:val="0"/>
      <w:adjustRightInd w:val="0"/>
      <w:spacing w:before="346" w:line="360" w:lineRule="exact"/>
      <w:ind w:right="3118"/>
      <w:jc w:val="center"/>
    </w:pPr>
    <w:rPr>
      <w:rFonts w:cs="Arial"/>
      <w:color w:val="000000"/>
      <w:spacing w:val="8"/>
      <w:sz w:val="32"/>
      <w:szCs w:val="34"/>
    </w:rPr>
  </w:style>
  <w:style w:type="character" w:styleId="7">
    <w:name w:val="footnote reference"/>
    <w:basedOn w:val="2"/>
    <w:semiHidden/>
    <w:unhideWhenUsed/>
    <w:qFormat/>
    <w:uiPriority w:val="99"/>
    <w:rPr>
      <w:vertAlign w:val="superscript"/>
    </w:rPr>
  </w:style>
  <w:style w:type="paragraph" w:styleId="8">
    <w:name w:val="footnote text"/>
    <w:basedOn w:val="1"/>
    <w:link w:val="23"/>
    <w:semiHidden/>
    <w:unhideWhenUsed/>
    <w:qFormat/>
    <w:uiPriority w:val="99"/>
    <w:rPr>
      <w:sz w:val="20"/>
      <w:szCs w:val="20"/>
    </w:rPr>
  </w:style>
  <w:style w:type="character" w:styleId="9">
    <w:name w:val="Hyperlink"/>
    <w:basedOn w:val="2"/>
    <w:unhideWhenUsed/>
    <w:qFormat/>
    <w:uiPriority w:val="99"/>
    <w:rPr>
      <w:color w:val="0000FF"/>
      <w:u w:val="single"/>
    </w:rPr>
  </w:style>
  <w:style w:type="paragraph" w:styleId="10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table" w:styleId="11">
    <w:name w:val="Table Grid"/>
    <w:basedOn w:val="3"/>
    <w:qFormat/>
    <w:uiPriority w:val="59"/>
    <w:pPr>
      <w:widowControl w:val="0"/>
    </w:pPr>
    <w:rPr>
      <w:rFonts w:ascii="Tahoma" w:hAnsi="Tahoma" w:eastAsia="Tahoma" w:cs="Tahoma"/>
      <w:sz w:val="24"/>
      <w:szCs w:val="24"/>
      <w:lang w:val="en-US" w:bidi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ConsPlusNonformat"/>
    <w:qFormat/>
    <w:uiPriority w:val="0"/>
    <w:pPr>
      <w:widowControl w:val="0"/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13">
    <w:name w:val="Default Paragraph Font Para Char Char Знак"/>
    <w:basedOn w:val="1"/>
    <w:qFormat/>
    <w:uiPriority w:val="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4">
    <w:name w:val="Текст выноски Знак"/>
    <w:basedOn w:val="2"/>
    <w:link w:val="4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customStyle="1" w:styleId="15">
    <w:name w:val="Без интервала1"/>
    <w:qFormat/>
    <w:uiPriority w:val="0"/>
    <w:rPr>
      <w:rFonts w:ascii="Calibri" w:hAnsi="Calibri" w:eastAsia="Times New Roman" w:cs="Times New Roman"/>
      <w:sz w:val="22"/>
      <w:szCs w:val="22"/>
      <w:lang w:val="ru-RU" w:eastAsia="en-US" w:bidi="ar-SA"/>
    </w:rPr>
  </w:style>
  <w:style w:type="paragraph" w:styleId="16">
    <w:name w:val="List Paragraph"/>
    <w:basedOn w:val="1"/>
    <w:link w:val="22"/>
    <w:qFormat/>
    <w:uiPriority w:val="34"/>
    <w:pPr>
      <w:spacing w:after="200" w:line="276" w:lineRule="auto"/>
      <w:ind w:left="720"/>
      <w:contextualSpacing/>
    </w:pPr>
    <w:rPr>
      <w:rFonts w:asciiTheme="minorHAnsi" w:hAnsiTheme="minorHAnsi" w:eastAsiaTheme="minorEastAsia" w:cstheme="minorBidi"/>
      <w:sz w:val="22"/>
      <w:szCs w:val="22"/>
    </w:rPr>
  </w:style>
  <w:style w:type="character" w:customStyle="1" w:styleId="17">
    <w:name w:val="apple-converted-space"/>
    <w:basedOn w:val="2"/>
    <w:qFormat/>
    <w:uiPriority w:val="0"/>
  </w:style>
  <w:style w:type="paragraph" w:customStyle="1" w:styleId="18">
    <w:name w:val="ConsPlus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lang w:val="ru-RU" w:eastAsia="ru-RU" w:bidi="ar-SA"/>
    </w:rPr>
  </w:style>
  <w:style w:type="paragraph" w:customStyle="1" w:styleId="19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paragraph" w:styleId="20">
    <w:name w:val="No Spacing"/>
    <w:link w:val="21"/>
    <w:qFormat/>
    <w:uiPriority w:val="0"/>
    <w:pPr>
      <w:suppressAutoHyphens/>
    </w:pPr>
    <w:rPr>
      <w:rFonts w:ascii="Calibri" w:hAnsi="Calibri" w:eastAsia="Calibri" w:cs="Times New Roman"/>
      <w:sz w:val="22"/>
      <w:szCs w:val="22"/>
      <w:lang w:val="ru-RU" w:eastAsia="ar-SA" w:bidi="ar-SA"/>
    </w:rPr>
  </w:style>
  <w:style w:type="character" w:customStyle="1" w:styleId="21">
    <w:name w:val="Без интервала Знак"/>
    <w:link w:val="20"/>
    <w:qFormat/>
    <w:uiPriority w:val="0"/>
    <w:rPr>
      <w:rFonts w:ascii="Calibri" w:hAnsi="Calibri" w:eastAsia="Calibri" w:cs="Times New Roman"/>
      <w:lang w:eastAsia="ar-SA"/>
    </w:rPr>
  </w:style>
  <w:style w:type="character" w:customStyle="1" w:styleId="22">
    <w:name w:val="Абзац списка Знак"/>
    <w:link w:val="16"/>
    <w:qFormat/>
    <w:locked/>
    <w:uiPriority w:val="34"/>
    <w:rPr>
      <w:rFonts w:eastAsiaTheme="minorEastAsia"/>
      <w:lang w:eastAsia="ru-RU"/>
    </w:rPr>
  </w:style>
  <w:style w:type="character" w:customStyle="1" w:styleId="23">
    <w:name w:val="Текст сноски Знак"/>
    <w:basedOn w:val="2"/>
    <w:link w:val="8"/>
    <w:semiHidden/>
    <w:qFormat/>
    <w:uiPriority w:val="99"/>
    <w:rPr>
      <w:rFonts w:ascii="Times New Roman" w:hAnsi="Times New Roman" w:eastAsia="Times New Roman" w:cs="Times New Roman"/>
    </w:rPr>
  </w:style>
  <w:style w:type="character" w:customStyle="1" w:styleId="24">
    <w:name w:val="Основной текст Знак"/>
    <w:basedOn w:val="2"/>
    <w:link w:val="5"/>
    <w:qFormat/>
    <w:uiPriority w:val="1"/>
    <w:rPr>
      <w:rFonts w:ascii="Times New Roman" w:hAnsi="Times New Roman" w:eastAsia="Times New Roman" w:cs="Times New Roman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12B66-98D7-442A-AF06-2CCDFD285A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Администрация</Company>
  <Pages>8</Pages>
  <Words>2751</Words>
  <Characters>15686</Characters>
  <Lines>130</Lines>
  <Paragraphs>36</Paragraphs>
  <TotalTime>82</TotalTime>
  <ScaleCrop>false</ScaleCrop>
  <LinksUpToDate>false</LinksUpToDate>
  <CharactersWithSpaces>18401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2023-09-01T11:56:00Z</dcterms:created>
  <dc:creator>Абрамова Ольга Олеговна</dc:creator>
  <cp:lastModifiedBy>User1</cp:lastModifiedBy>
  <cp:lastPrinted>2023-08-21T17:44:00Z</cp:lastPrinted>
  <dcterms:modified xsi:type="dcterms:W3CDTF">2026-07-22T06:37:20Z</dcterms:modified>
  <cp:revision>117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KSOTemplateDocerSaveRecord">
    <vt:lpwstr>eyJoZGlkIjoiYTgyYTY4NjlkNTgxMDAzMDRkZGQyMjU5OTYxNzlhNjYifQ==</vt:lpwstr>
  </property>
  <property fmtid="{D5CDD505-2E9C-101B-9397-08002B2CF9AE}" pid="4" name="ICV">
    <vt:lpwstr>1D2708BE9EAC47BDA889C0B9B92A7093_13</vt:lpwstr>
  </property>
</Properties>
</file>